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44"/>
          <w:szCs w:val="44"/>
        </w:rPr>
      </w:pPr>
      <w:r>
        <w:rPr>
          <w:rFonts w:hint="eastAsia" w:ascii="黑体" w:hAnsi="黑体" w:eastAsia="黑体" w:cs="黑体"/>
          <w:color w:val="auto"/>
          <w:sz w:val="44"/>
          <w:szCs w:val="44"/>
        </w:rPr>
        <w:t>关于做好科技服务业企业上规入统工作的通知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各</w:t>
      </w:r>
      <w:r>
        <w:rPr>
          <w:rFonts w:hint="eastAsia" w:ascii="仿宋" w:hAnsi="仿宋" w:eastAsia="仿宋" w:cs="仿宋"/>
          <w:color w:val="auto"/>
          <w:sz w:val="32"/>
          <w:szCs w:val="32"/>
          <w:lang w:eastAsia="zh-CN"/>
        </w:rPr>
        <w:t>县（市）</w:t>
      </w:r>
      <w:r>
        <w:rPr>
          <w:rFonts w:hint="eastAsia" w:ascii="仿宋" w:hAnsi="仿宋" w:eastAsia="仿宋" w:cs="仿宋"/>
          <w:color w:val="auto"/>
          <w:sz w:val="32"/>
          <w:szCs w:val="32"/>
        </w:rPr>
        <w:t>区</w:t>
      </w:r>
      <w:r>
        <w:rPr>
          <w:rFonts w:hint="eastAsia" w:ascii="仿宋" w:hAnsi="仿宋" w:eastAsia="仿宋" w:cs="仿宋"/>
          <w:color w:val="auto"/>
          <w:sz w:val="32"/>
          <w:szCs w:val="32"/>
          <w:lang w:eastAsia="zh-CN"/>
        </w:rPr>
        <w:t>发改（</w:t>
      </w:r>
      <w:r>
        <w:rPr>
          <w:rFonts w:hint="eastAsia" w:ascii="仿宋" w:hAnsi="仿宋" w:eastAsia="仿宋" w:cs="仿宋"/>
          <w:color w:val="auto"/>
          <w:sz w:val="32"/>
          <w:szCs w:val="32"/>
        </w:rPr>
        <w:t>科技</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局、</w:t>
      </w:r>
      <w:r>
        <w:rPr>
          <w:rFonts w:hint="eastAsia" w:ascii="仿宋" w:hAnsi="仿宋" w:eastAsia="仿宋" w:cs="仿宋"/>
          <w:color w:val="auto"/>
          <w:sz w:val="32"/>
          <w:szCs w:val="32"/>
          <w:lang w:eastAsia="zh-CN"/>
        </w:rPr>
        <w:t>高新区科技局，</w:t>
      </w:r>
      <w:r>
        <w:rPr>
          <w:rFonts w:hint="eastAsia" w:ascii="仿宋" w:hAnsi="仿宋" w:eastAsia="仿宋" w:cs="仿宋"/>
          <w:color w:val="auto"/>
          <w:sz w:val="32"/>
          <w:szCs w:val="32"/>
        </w:rPr>
        <w:t>各有关单位：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为</w:t>
      </w:r>
      <w:r>
        <w:rPr>
          <w:rFonts w:hint="eastAsia" w:ascii="仿宋" w:hAnsi="仿宋" w:eastAsia="仿宋" w:cs="仿宋"/>
          <w:color w:val="auto"/>
          <w:sz w:val="32"/>
          <w:szCs w:val="32"/>
          <w:lang w:eastAsia="zh-CN"/>
        </w:rPr>
        <w:t>贯彻落实市委十一届十一次全会精神，</w:t>
      </w:r>
      <w:r>
        <w:rPr>
          <w:rFonts w:hint="eastAsia" w:ascii="仿宋" w:hAnsi="仿宋" w:eastAsia="仿宋" w:cs="仿宋"/>
          <w:color w:val="auto"/>
          <w:sz w:val="32"/>
          <w:szCs w:val="32"/>
        </w:rPr>
        <w:t>加强我</w:t>
      </w:r>
      <w:r>
        <w:rPr>
          <w:rFonts w:hint="eastAsia" w:ascii="仿宋" w:hAnsi="仿宋" w:eastAsia="仿宋" w:cs="仿宋"/>
          <w:color w:val="auto"/>
          <w:sz w:val="32"/>
          <w:szCs w:val="32"/>
          <w:lang w:eastAsia="zh-CN"/>
        </w:rPr>
        <w:t>市</w:t>
      </w:r>
      <w:r>
        <w:rPr>
          <w:rFonts w:hint="eastAsia" w:ascii="仿宋" w:hAnsi="仿宋" w:eastAsia="仿宋" w:cs="仿宋"/>
          <w:color w:val="auto"/>
          <w:sz w:val="32"/>
          <w:szCs w:val="32"/>
        </w:rPr>
        <w:t>科技服务业企业上规入统工作，做好规模以上科技服务业企业跟踪服务工作，现将有关事项通知如下：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一、迅速开展科技服务业企业调查摸底工作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各县（区）</w:t>
      </w:r>
      <w:r>
        <w:rPr>
          <w:rFonts w:hint="eastAsia" w:ascii="仿宋" w:hAnsi="仿宋" w:eastAsia="仿宋" w:cs="仿宋"/>
          <w:color w:val="auto"/>
          <w:sz w:val="32"/>
          <w:szCs w:val="32"/>
          <w:lang w:eastAsia="zh-CN"/>
        </w:rPr>
        <w:t>发改（</w:t>
      </w:r>
      <w:r>
        <w:rPr>
          <w:rFonts w:hint="eastAsia" w:ascii="仿宋" w:hAnsi="仿宋" w:eastAsia="仿宋" w:cs="仿宋"/>
          <w:color w:val="auto"/>
          <w:sz w:val="32"/>
          <w:szCs w:val="32"/>
        </w:rPr>
        <w:t>科技</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局</w:t>
      </w:r>
      <w:r>
        <w:rPr>
          <w:rFonts w:hint="eastAsia" w:ascii="仿宋" w:hAnsi="仿宋" w:eastAsia="仿宋" w:cs="仿宋"/>
          <w:color w:val="auto"/>
          <w:sz w:val="32"/>
          <w:szCs w:val="32"/>
          <w:lang w:eastAsia="zh-CN"/>
        </w:rPr>
        <w:t>要</w:t>
      </w:r>
      <w:r>
        <w:rPr>
          <w:rFonts w:hint="eastAsia" w:ascii="仿宋" w:hAnsi="仿宋" w:eastAsia="仿宋" w:cs="仿宋"/>
          <w:color w:val="auto"/>
          <w:sz w:val="32"/>
          <w:szCs w:val="32"/>
        </w:rPr>
        <w:t>对辖区内科技服务业企业进行全面深度摸排，筛选有潜力、基本符合条件的企业作为重点服务对象，为下一步上规入统做好前期准备工作。调查摸底重点为高新技术企业（高技术服务领域）、科技企业孵化器</w:t>
      </w:r>
      <w:r>
        <w:rPr>
          <w:rFonts w:hint="eastAsia" w:ascii="仿宋" w:hAnsi="仿宋" w:eastAsia="仿宋" w:cs="仿宋"/>
          <w:color w:val="auto"/>
          <w:sz w:val="32"/>
          <w:szCs w:val="32"/>
          <w:lang w:eastAsia="zh-CN"/>
        </w:rPr>
        <w:t>、省新型研发机构、省</w:t>
      </w:r>
      <w:r>
        <w:rPr>
          <w:rFonts w:hint="eastAsia" w:ascii="仿宋" w:hAnsi="仿宋" w:eastAsia="仿宋" w:cs="仿宋"/>
          <w:color w:val="auto"/>
          <w:sz w:val="32"/>
          <w:szCs w:val="32"/>
        </w:rPr>
        <w:t>技术转移机构</w:t>
      </w:r>
      <w:r>
        <w:rPr>
          <w:rFonts w:hint="eastAsia" w:ascii="仿宋" w:hAnsi="仿宋" w:eastAsia="仿宋" w:cs="仿宋"/>
          <w:color w:val="auto"/>
          <w:sz w:val="32"/>
          <w:szCs w:val="32"/>
          <w:lang w:eastAsia="zh-CN"/>
        </w:rPr>
        <w:t>和市行业技术创新中心等</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二、及时督促符合条件的科技服务业企业上规入统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各县（区）</w:t>
      </w:r>
      <w:r>
        <w:rPr>
          <w:rFonts w:hint="eastAsia" w:ascii="仿宋" w:hAnsi="仿宋" w:eastAsia="仿宋" w:cs="仿宋"/>
          <w:color w:val="auto"/>
          <w:sz w:val="32"/>
          <w:szCs w:val="32"/>
          <w:lang w:eastAsia="zh-CN"/>
        </w:rPr>
        <w:t>发改（</w:t>
      </w:r>
      <w:r>
        <w:rPr>
          <w:rFonts w:hint="eastAsia" w:ascii="仿宋" w:hAnsi="仿宋" w:eastAsia="仿宋" w:cs="仿宋"/>
          <w:color w:val="auto"/>
          <w:sz w:val="32"/>
          <w:szCs w:val="32"/>
        </w:rPr>
        <w:t>科技</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局</w:t>
      </w:r>
      <w:r>
        <w:rPr>
          <w:rFonts w:hint="eastAsia" w:ascii="仿宋" w:hAnsi="仿宋" w:eastAsia="仿宋" w:cs="仿宋"/>
          <w:color w:val="auto"/>
          <w:sz w:val="32"/>
          <w:szCs w:val="32"/>
          <w:lang w:eastAsia="zh-CN"/>
        </w:rPr>
        <w:t>要</w:t>
      </w:r>
      <w:r>
        <w:rPr>
          <w:rFonts w:hint="eastAsia" w:ascii="仿宋" w:hAnsi="仿宋" w:eastAsia="仿宋" w:cs="仿宋"/>
          <w:color w:val="auto"/>
          <w:sz w:val="32"/>
          <w:szCs w:val="32"/>
        </w:rPr>
        <w:t>加强对符合条件的规模以上科技服务业企业进行指导、对接和服务，宣传各项优惠和奖励政策，协调处理申报中遇到的问题，配合统计部门及时纳入统计，确保应统尽统</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规模以上科技服务业上规入统条件为辖区内年营业收入1000万元及以上，或年末从业人员50人及以上的科学研究和技术服务业（不含专业技术服务业）企业</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目前，我市共有入库</w:t>
      </w:r>
      <w:r>
        <w:rPr>
          <w:rFonts w:hint="eastAsia" w:ascii="仿宋" w:hAnsi="仿宋" w:eastAsia="仿宋" w:cs="仿宋"/>
          <w:color w:val="auto"/>
          <w:sz w:val="32"/>
          <w:szCs w:val="32"/>
          <w:lang w:val="en-US" w:eastAsia="zh-CN"/>
        </w:rPr>
        <w:t>规模以上科技服务业企业（科技推广和应用服务业）20家，其中</w:t>
      </w:r>
      <w:r>
        <w:rPr>
          <w:rFonts w:hint="eastAsia" w:ascii="仿宋" w:hAnsi="仿宋" w:eastAsia="仿宋" w:cs="仿宋"/>
          <w:color w:val="auto"/>
          <w:sz w:val="32"/>
          <w:szCs w:val="32"/>
          <w:lang w:eastAsia="zh-CN"/>
        </w:rPr>
        <w:t>台江区（</w:t>
      </w:r>
      <w:r>
        <w:rPr>
          <w:rFonts w:hint="eastAsia" w:ascii="仿宋" w:hAnsi="仿宋" w:eastAsia="仿宋" w:cs="仿宋"/>
          <w:color w:val="auto"/>
          <w:sz w:val="32"/>
          <w:szCs w:val="32"/>
          <w:lang w:val="en-US" w:eastAsia="zh-CN"/>
        </w:rPr>
        <w:t>8家）</w:t>
      </w:r>
      <w:r>
        <w:rPr>
          <w:rFonts w:hint="eastAsia" w:ascii="仿宋" w:hAnsi="仿宋" w:eastAsia="仿宋" w:cs="仿宋"/>
          <w:color w:val="auto"/>
          <w:sz w:val="32"/>
          <w:szCs w:val="32"/>
          <w:lang w:eastAsia="zh-CN"/>
        </w:rPr>
        <w:t>、永泰县（</w:t>
      </w:r>
      <w:r>
        <w:rPr>
          <w:rFonts w:hint="eastAsia" w:ascii="仿宋" w:hAnsi="仿宋" w:eastAsia="仿宋" w:cs="仿宋"/>
          <w:color w:val="auto"/>
          <w:sz w:val="32"/>
          <w:szCs w:val="32"/>
          <w:lang w:val="en-US" w:eastAsia="zh-CN"/>
        </w:rPr>
        <w:t>6家）数量位列全市前两名，占全市总量70%。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三、做好</w:t>
      </w:r>
      <w:r>
        <w:rPr>
          <w:rFonts w:hint="eastAsia" w:ascii="黑体" w:hAnsi="黑体" w:eastAsia="黑体" w:cs="黑体"/>
          <w:color w:val="auto"/>
          <w:sz w:val="32"/>
          <w:szCs w:val="32"/>
          <w:lang w:eastAsia="zh-CN"/>
        </w:rPr>
        <w:t>已入库规模以上</w:t>
      </w:r>
      <w:r>
        <w:rPr>
          <w:rFonts w:hint="eastAsia" w:ascii="黑体" w:hAnsi="黑体" w:eastAsia="黑体" w:cs="黑体"/>
          <w:color w:val="auto"/>
          <w:sz w:val="32"/>
          <w:szCs w:val="32"/>
        </w:rPr>
        <w:t>科技服务业企业</w:t>
      </w:r>
      <w:r>
        <w:rPr>
          <w:rFonts w:hint="eastAsia" w:ascii="黑体" w:hAnsi="黑体" w:eastAsia="黑体" w:cs="黑体"/>
          <w:color w:val="auto"/>
          <w:sz w:val="32"/>
          <w:szCs w:val="32"/>
          <w:lang w:eastAsia="zh-CN"/>
        </w:rPr>
        <w:t>跟踪服务工作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根据市服务业通报，2019年度，我市入库规模以上科技服务业企业（科学研究和技术服务业）实际增长率23.6%，2020年度增长率为20%。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对已入库的规模以上</w:t>
      </w:r>
      <w:r>
        <w:rPr>
          <w:rFonts w:hint="eastAsia" w:ascii="仿宋" w:hAnsi="仿宋" w:eastAsia="仿宋" w:cs="仿宋"/>
          <w:color w:val="auto"/>
          <w:sz w:val="32"/>
          <w:szCs w:val="32"/>
          <w:lang w:val="en-US" w:eastAsia="zh-CN"/>
        </w:rPr>
        <w:t>科技服务业企业（科技推广和应用服务业），辖区</w:t>
      </w:r>
      <w:r>
        <w:rPr>
          <w:rFonts w:hint="eastAsia" w:ascii="仿宋" w:hAnsi="仿宋" w:eastAsia="仿宋" w:cs="仿宋"/>
          <w:color w:val="auto"/>
          <w:sz w:val="32"/>
          <w:szCs w:val="32"/>
          <w:lang w:eastAsia="zh-CN"/>
        </w:rPr>
        <w:t>县（区）</w:t>
      </w:r>
      <w:r>
        <w:rPr>
          <w:rFonts w:hint="eastAsia" w:ascii="仿宋" w:hAnsi="仿宋" w:eastAsia="仿宋" w:cs="仿宋"/>
          <w:color w:val="auto"/>
          <w:sz w:val="32"/>
          <w:szCs w:val="32"/>
          <w:lang w:eastAsia="zh-CN"/>
        </w:rPr>
        <w:t>发改（科技</w:t>
      </w:r>
      <w:r>
        <w:rPr>
          <w:rFonts w:hint="eastAsia" w:ascii="仿宋" w:hAnsi="仿宋" w:eastAsia="仿宋" w:cs="仿宋"/>
          <w:color w:val="auto"/>
          <w:sz w:val="32"/>
          <w:szCs w:val="32"/>
          <w:lang w:eastAsia="zh-CN"/>
        </w:rPr>
        <w:t>）局</w:t>
      </w:r>
      <w:r>
        <w:rPr>
          <w:rFonts w:hint="eastAsia" w:ascii="仿宋" w:hAnsi="仿宋" w:eastAsia="仿宋" w:cs="仿宋"/>
          <w:color w:val="auto"/>
          <w:sz w:val="32"/>
          <w:szCs w:val="32"/>
          <w:lang w:val="en-US" w:eastAsia="zh-CN"/>
        </w:rPr>
        <w:t>要做好对口跟踪服务工作，加强业务指导和数据填报的指导，确保上报的数据质量，保证完成年度增长任务（详见附件）。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lang w:val="en-US" w:eastAsia="zh-CN"/>
        </w:rPr>
      </w:pPr>
      <w:bookmarkStart w:id="0" w:name="_GoBack"/>
      <w:bookmarkEnd w:id="0"/>
      <w:r>
        <w:rPr>
          <w:rFonts w:hint="eastAsia" w:ascii="仿宋" w:hAnsi="仿宋" w:eastAsia="仿宋" w:cs="仿宋"/>
          <w:color w:val="auto"/>
          <w:sz w:val="32"/>
          <w:szCs w:val="32"/>
          <w:lang w:val="en-US" w:eastAsia="zh-CN"/>
        </w:rPr>
        <w:t>对于没有入库规模以上科技服务业企业的县（市）区，各</w:t>
      </w:r>
      <w:r>
        <w:rPr>
          <w:rFonts w:hint="eastAsia" w:ascii="仿宋" w:hAnsi="仿宋" w:eastAsia="仿宋" w:cs="仿宋"/>
          <w:color w:val="auto"/>
          <w:sz w:val="32"/>
          <w:szCs w:val="32"/>
          <w:lang w:eastAsia="zh-CN"/>
        </w:rPr>
        <w:t>发改（科技</w:t>
      </w:r>
      <w:r>
        <w:rPr>
          <w:rFonts w:hint="eastAsia" w:ascii="仿宋" w:hAnsi="仿宋" w:eastAsia="仿宋" w:cs="仿宋"/>
          <w:color w:val="auto"/>
          <w:sz w:val="32"/>
          <w:szCs w:val="32"/>
          <w:lang w:eastAsia="zh-CN"/>
        </w:rPr>
        <w:t>）局</w:t>
      </w:r>
      <w:r>
        <w:rPr>
          <w:rFonts w:hint="eastAsia" w:ascii="仿宋" w:hAnsi="仿宋" w:eastAsia="仿宋" w:cs="仿宋"/>
          <w:color w:val="auto"/>
          <w:sz w:val="32"/>
          <w:szCs w:val="32"/>
          <w:lang w:eastAsia="zh-CN"/>
        </w:rPr>
        <w:t>要</w:t>
      </w:r>
      <w:r>
        <w:rPr>
          <w:rFonts w:hint="eastAsia" w:ascii="仿宋" w:hAnsi="仿宋" w:eastAsia="仿宋" w:cs="仿宋"/>
          <w:color w:val="auto"/>
          <w:sz w:val="32"/>
          <w:szCs w:val="32"/>
          <w:lang w:val="en-US" w:eastAsia="zh-CN"/>
        </w:rPr>
        <w:t>对照企业入库标准，对接近入库标准的企业进行摸排筛选，进一步培育；同时，对辖区内主营业务活动属于科技服务业但行业代码划分不正确的已上规入统企业，要积极与企业沟通，指导企业申请变更行业代码。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附件：2020年度科技服务业企业（科技推广和应用服务业）指标任务表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福州市科学技术局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2020年9月8日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color w:val="FF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color w:val="FF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color w:val="FF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color w:val="FF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附件：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lang w:val="en-US" w:eastAsia="zh-CN"/>
        </w:rPr>
      </w:pPr>
      <w:r>
        <w:rPr>
          <w:rFonts w:hint="eastAsia" w:ascii="黑体" w:hAnsi="黑体" w:eastAsia="黑体" w:cs="黑体"/>
          <w:color w:val="auto"/>
          <w:sz w:val="28"/>
          <w:szCs w:val="28"/>
          <w:lang w:val="en-US" w:eastAsia="zh-CN"/>
        </w:rPr>
        <w:t>2020年度科技服务业企业（科技推广和应用服务业）指标任务</w:t>
      </w:r>
      <w:r>
        <w:rPr>
          <w:rFonts w:hint="eastAsia" w:ascii="黑体" w:hAnsi="黑体" w:eastAsia="黑体" w:cs="黑体"/>
          <w:i w:val="0"/>
          <w:color w:val="000000"/>
          <w:kern w:val="0"/>
          <w:sz w:val="28"/>
          <w:szCs w:val="28"/>
          <w:u w:val="none"/>
          <w:lang w:val="en-US" w:eastAsia="zh-CN" w:bidi="ar"/>
        </w:rPr>
        <w:t>表</w:t>
      </w:r>
    </w:p>
    <w:tbl>
      <w:tblPr>
        <w:tblStyle w:val="15"/>
        <w:tblpPr w:leftFromText="180" w:rightFromText="180" w:vertAnchor="text" w:horzAnchor="page" w:tblpX="1803" w:tblpY="607"/>
        <w:tblOverlap w:val="never"/>
        <w:tblW w:w="842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39"/>
        <w:gridCol w:w="921"/>
        <w:gridCol w:w="924"/>
        <w:gridCol w:w="1038"/>
        <w:gridCol w:w="1719"/>
        <w:gridCol w:w="1500"/>
        <w:gridCol w:w="17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749"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新宋体" w:hAnsi="新宋体" w:eastAsia="新宋体" w:cs="新宋体"/>
                <w:i w:val="0"/>
                <w:color w:val="000000"/>
                <w:kern w:val="0"/>
                <w:sz w:val="18"/>
                <w:szCs w:val="18"/>
                <w:u w:val="none"/>
                <w:lang w:val="en-US" w:eastAsia="zh-CN" w:bidi="ar"/>
              </w:rPr>
            </w:pPr>
            <w:r>
              <w:rPr>
                <w:rFonts w:hint="eastAsia" w:ascii="新宋体" w:hAnsi="新宋体" w:eastAsia="新宋体" w:cs="新宋体"/>
                <w:i w:val="0"/>
                <w:color w:val="000000"/>
                <w:kern w:val="0"/>
                <w:sz w:val="18"/>
                <w:szCs w:val="18"/>
                <w:u w:val="none"/>
                <w:lang w:val="en-US" w:eastAsia="zh-CN" w:bidi="ar"/>
              </w:rPr>
              <w:t>序号</w:t>
            </w:r>
          </w:p>
        </w:tc>
        <w:tc>
          <w:tcPr>
            <w:tcW w:w="9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新宋体" w:hAnsi="新宋体" w:eastAsia="新宋体" w:cs="新宋体"/>
                <w:i w:val="0"/>
                <w:color w:val="000000"/>
                <w:kern w:val="0"/>
                <w:sz w:val="18"/>
                <w:szCs w:val="18"/>
                <w:u w:val="none"/>
                <w:lang w:val="en-US" w:eastAsia="zh-CN" w:bidi="ar"/>
              </w:rPr>
            </w:pPr>
            <w:r>
              <w:rPr>
                <w:rFonts w:hint="eastAsia" w:ascii="新宋体" w:hAnsi="新宋体" w:eastAsia="新宋体" w:cs="新宋体"/>
                <w:i w:val="0"/>
                <w:color w:val="000000"/>
                <w:kern w:val="0"/>
                <w:sz w:val="18"/>
                <w:szCs w:val="18"/>
                <w:u w:val="none"/>
                <w:lang w:val="en-US" w:eastAsia="zh-CN" w:bidi="ar"/>
              </w:rPr>
              <w:t>单位</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新宋体" w:hAnsi="新宋体" w:eastAsia="新宋体" w:cs="新宋体"/>
                <w:i w:val="0"/>
                <w:color w:val="000000"/>
                <w:kern w:val="0"/>
                <w:sz w:val="18"/>
                <w:szCs w:val="18"/>
                <w:u w:val="none"/>
                <w:lang w:val="en-US" w:eastAsia="zh-CN" w:bidi="ar"/>
              </w:rPr>
            </w:pPr>
            <w:r>
              <w:rPr>
                <w:rFonts w:hint="eastAsia" w:ascii="新宋体" w:hAnsi="新宋体" w:eastAsia="新宋体" w:cs="新宋体"/>
                <w:i w:val="0"/>
                <w:color w:val="000000"/>
                <w:kern w:val="0"/>
                <w:sz w:val="18"/>
                <w:szCs w:val="18"/>
                <w:u w:val="none"/>
                <w:lang w:val="en-US" w:eastAsia="zh-CN" w:bidi="ar"/>
              </w:rPr>
              <w:t>2019年增长率（%）</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新宋体" w:hAnsi="新宋体" w:eastAsia="新宋体" w:cs="新宋体"/>
                <w:i w:val="0"/>
                <w:color w:val="000000"/>
                <w:kern w:val="0"/>
                <w:sz w:val="18"/>
                <w:szCs w:val="18"/>
                <w:u w:val="none"/>
                <w:lang w:val="en-US" w:eastAsia="zh-CN" w:bidi="ar"/>
              </w:rPr>
            </w:pPr>
            <w:r>
              <w:rPr>
                <w:rFonts w:hint="eastAsia" w:ascii="新宋体" w:hAnsi="新宋体" w:eastAsia="新宋体" w:cs="新宋体"/>
                <w:i w:val="0"/>
                <w:color w:val="000000"/>
                <w:kern w:val="0"/>
                <w:sz w:val="18"/>
                <w:szCs w:val="18"/>
                <w:u w:val="none"/>
                <w:lang w:val="en-US" w:eastAsia="zh-CN" w:bidi="ar"/>
              </w:rPr>
              <w:t>2020年达到增长率（%）</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新宋体" w:hAnsi="新宋体" w:eastAsia="新宋体" w:cs="新宋体"/>
                <w:i w:val="0"/>
                <w:color w:val="000000"/>
                <w:kern w:val="0"/>
                <w:sz w:val="18"/>
                <w:szCs w:val="18"/>
                <w:u w:val="none"/>
                <w:lang w:val="en-US" w:eastAsia="zh-CN" w:bidi="ar"/>
              </w:rPr>
            </w:pPr>
            <w:r>
              <w:rPr>
                <w:rFonts w:hint="eastAsia" w:ascii="新宋体" w:hAnsi="新宋体" w:eastAsia="新宋体" w:cs="新宋体"/>
                <w:i w:val="0"/>
                <w:color w:val="000000"/>
                <w:kern w:val="0"/>
                <w:sz w:val="18"/>
                <w:szCs w:val="18"/>
                <w:u w:val="none"/>
                <w:lang w:val="en-US" w:eastAsia="zh-CN" w:bidi="ar"/>
              </w:rPr>
              <w:t>单位详细名称</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新宋体" w:hAnsi="新宋体" w:eastAsia="新宋体" w:cs="新宋体"/>
                <w:i w:val="0"/>
                <w:color w:val="000000"/>
                <w:kern w:val="0"/>
                <w:sz w:val="18"/>
                <w:szCs w:val="18"/>
                <w:u w:val="none"/>
                <w:lang w:val="en-US" w:eastAsia="zh-CN" w:bidi="ar"/>
              </w:rPr>
            </w:pPr>
            <w:r>
              <w:rPr>
                <w:rFonts w:hint="eastAsia" w:ascii="新宋体" w:hAnsi="新宋体" w:eastAsia="新宋体" w:cs="新宋体"/>
                <w:i w:val="0"/>
                <w:color w:val="000000"/>
                <w:kern w:val="0"/>
                <w:sz w:val="18"/>
                <w:szCs w:val="18"/>
                <w:u w:val="none"/>
                <w:lang w:val="en-US" w:eastAsia="zh-CN" w:bidi="ar"/>
              </w:rPr>
              <w:t>行业代码（GB/4754-2017）</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新宋体" w:hAnsi="新宋体" w:eastAsia="新宋体" w:cs="新宋体"/>
                <w:i w:val="0"/>
                <w:color w:val="000000"/>
                <w:kern w:val="0"/>
                <w:sz w:val="18"/>
                <w:szCs w:val="18"/>
                <w:u w:val="none"/>
                <w:lang w:val="en-US" w:eastAsia="zh-CN" w:bidi="ar"/>
              </w:rPr>
            </w:pPr>
            <w:r>
              <w:rPr>
                <w:rFonts w:hint="eastAsia" w:ascii="新宋体" w:hAnsi="新宋体" w:eastAsia="新宋体" w:cs="新宋体"/>
                <w:i w:val="0"/>
                <w:color w:val="000000"/>
                <w:kern w:val="0"/>
                <w:sz w:val="18"/>
                <w:szCs w:val="18"/>
                <w:u w:val="none"/>
                <w:lang w:val="en-US" w:eastAsia="zh-CN" w:bidi="ar"/>
              </w:rPr>
              <w:t>行业类别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w:t>
            </w:r>
          </w:p>
        </w:tc>
        <w:tc>
          <w:tcPr>
            <w:tcW w:w="9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台江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23.6</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20</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福建省农科农业发展有限公司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7511</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农林渔牧技术推广服务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w:t>
            </w:r>
          </w:p>
        </w:tc>
        <w:tc>
          <w:tcPr>
            <w:tcW w:w="9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台江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23.6</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20</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福建丰盛农林科技集团有限公司(高企)</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7511</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农林渔牧技术推广服务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3</w:t>
            </w:r>
          </w:p>
        </w:tc>
        <w:tc>
          <w:tcPr>
            <w:tcW w:w="9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台江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23.6</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20</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福州乐研生物科技有限公司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7512</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生物技术推广服务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4</w:t>
            </w:r>
          </w:p>
        </w:tc>
        <w:tc>
          <w:tcPr>
            <w:tcW w:w="9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台江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23.6</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20</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福州润格生物技术有限公司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7512</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生物技术推广服务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5</w:t>
            </w:r>
          </w:p>
        </w:tc>
        <w:tc>
          <w:tcPr>
            <w:tcW w:w="9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台江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23.6</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20</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福建省东锅节能科技有限公司（高企）</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7515</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新能源技术推广服务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9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台江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23.6</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20</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东元环保设备（福州）有限公司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7516</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环保技术推广服务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w:t>
            </w:r>
          </w:p>
        </w:tc>
        <w:tc>
          <w:tcPr>
            <w:tcW w:w="9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台江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23.6</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20</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福建省鑫金鼎医药科技有限责任公司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7519</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其他技术推广服务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w:t>
            </w:r>
          </w:p>
        </w:tc>
        <w:tc>
          <w:tcPr>
            <w:tcW w:w="9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台江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23.6</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20</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福建维利德医疗科技有限公司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7519</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其他技术推广服务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9</w:t>
            </w:r>
          </w:p>
        </w:tc>
        <w:tc>
          <w:tcPr>
            <w:tcW w:w="9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永泰</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23.6</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20</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福州邕熙企业管理咨询有限公司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7512</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生物技术推广服务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10</w:t>
            </w:r>
          </w:p>
        </w:tc>
        <w:tc>
          <w:tcPr>
            <w:tcW w:w="9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永泰</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23.6</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20</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福州市虹之扬企业管理咨询有限公司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7512</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生物技术推广服务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11</w:t>
            </w:r>
          </w:p>
        </w:tc>
        <w:tc>
          <w:tcPr>
            <w:tcW w:w="9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永泰</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23.6</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20</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福建惠鑫医药科技有限公司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7512</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生物技术推广服务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12</w:t>
            </w:r>
          </w:p>
        </w:tc>
        <w:tc>
          <w:tcPr>
            <w:tcW w:w="9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永泰</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23.6</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20</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福州祥润泰信息咨询有限公司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7512</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生物技术推广服务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13</w:t>
            </w:r>
          </w:p>
        </w:tc>
        <w:tc>
          <w:tcPr>
            <w:tcW w:w="9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永泰</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23.6</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20</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福建瑞啸祥医疗科技有限公司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7512</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生物技术推广服务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06"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14</w:t>
            </w:r>
          </w:p>
        </w:tc>
        <w:tc>
          <w:tcPr>
            <w:tcW w:w="9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永泰</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23.6</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20</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福州市诺泰医药科技有限公司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7512</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生物技术推广服务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15</w:t>
            </w:r>
          </w:p>
        </w:tc>
        <w:tc>
          <w:tcPr>
            <w:tcW w:w="9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闽清</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23.6</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20</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赛斯科医药科技（福建）有限公司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7519</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其他技术推广服务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16</w:t>
            </w:r>
          </w:p>
        </w:tc>
        <w:tc>
          <w:tcPr>
            <w:tcW w:w="9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闽清</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23.6</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20</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福建医健佳生物科技有限公司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7519</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其他技术推广服务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17</w:t>
            </w:r>
          </w:p>
        </w:tc>
        <w:tc>
          <w:tcPr>
            <w:tcW w:w="9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闽清</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23.6</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20</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福州嵘秀营销策划服务有限公司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7519</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其他技术推广服务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18</w:t>
            </w:r>
          </w:p>
        </w:tc>
        <w:tc>
          <w:tcPr>
            <w:tcW w:w="9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仓山</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23.6</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20</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福建省两岸照明节能科技有限公司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7514</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节能技术推广服务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19</w:t>
            </w:r>
          </w:p>
        </w:tc>
        <w:tc>
          <w:tcPr>
            <w:tcW w:w="9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晋安</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23.6</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20</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福建中莲兆荷投资集团有限公司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7511</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农林渔牧技术推广服务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20</w:t>
            </w:r>
          </w:p>
        </w:tc>
        <w:tc>
          <w:tcPr>
            <w:tcW w:w="9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马尾（福州保税区）</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23.6</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20</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福建明科汇利生物科技有限公司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7512</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生物技术推广服务</w:t>
            </w: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FF0000"/>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0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F40527"/>
    <w:rsid w:val="0CF40527"/>
    <w:rsid w:val="42D77BB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24"/>
      <w:szCs w:val="24"/>
      <w:lang w:val="en-US" w:eastAsia="zh-CN" w:bidi="ar"/>
    </w:rPr>
  </w:style>
  <w:style w:type="character" w:default="1" w:styleId="5">
    <w:name w:val="Default Paragraph Font"/>
    <w:semiHidden/>
    <w:uiPriority w:val="0"/>
  </w:style>
  <w:style w:type="table" w:default="1" w:styleId="15">
    <w:name w:val="Normal Table"/>
    <w:semiHidden/>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FollowedHyperlink"/>
    <w:basedOn w:val="5"/>
    <w:uiPriority w:val="0"/>
    <w:rPr>
      <w:color w:val="434242"/>
      <w:u w:val="none"/>
    </w:rPr>
  </w:style>
  <w:style w:type="character" w:styleId="8">
    <w:name w:val="Emphasis"/>
    <w:basedOn w:val="5"/>
    <w:qFormat/>
    <w:uiPriority w:val="0"/>
  </w:style>
  <w:style w:type="character" w:styleId="9">
    <w:name w:val="HTML Definition"/>
    <w:basedOn w:val="5"/>
    <w:uiPriority w:val="0"/>
  </w:style>
  <w:style w:type="character" w:styleId="10">
    <w:name w:val="HTML Acronym"/>
    <w:basedOn w:val="5"/>
    <w:uiPriority w:val="0"/>
    <w:rPr>
      <w:bdr w:val="none" w:color="auto" w:sz="0" w:space="0"/>
    </w:rPr>
  </w:style>
  <w:style w:type="character" w:styleId="11">
    <w:name w:val="HTML Variable"/>
    <w:basedOn w:val="5"/>
    <w:uiPriority w:val="0"/>
  </w:style>
  <w:style w:type="character" w:styleId="12">
    <w:name w:val="Hyperlink"/>
    <w:basedOn w:val="5"/>
    <w:uiPriority w:val="0"/>
    <w:rPr>
      <w:color w:val="434242"/>
      <w:u w:val="none"/>
    </w:rPr>
  </w:style>
  <w:style w:type="character" w:styleId="13">
    <w:name w:val="HTML Code"/>
    <w:basedOn w:val="5"/>
    <w:uiPriority w:val="0"/>
    <w:rPr>
      <w:rFonts w:ascii="Courier New" w:hAnsi="Courier New"/>
      <w:sz w:val="20"/>
    </w:rPr>
  </w:style>
  <w:style w:type="character" w:styleId="14">
    <w:name w:val="HTML Cite"/>
    <w:basedOn w:val="5"/>
    <w:uiPriority w:val="0"/>
  </w:style>
  <w:style w:type="character" w:customStyle="1" w:styleId="16">
    <w:name w:val="layui-layer-tabnow"/>
    <w:basedOn w:val="5"/>
    <w:uiPriority w:val="0"/>
    <w:rPr>
      <w:bdr w:val="single" w:color="CCCCCC" w:sz="6" w:space="0"/>
      <w:shd w:val="clear" w:fill="FFFFFF"/>
    </w:rPr>
  </w:style>
  <w:style w:type="character" w:customStyle="1" w:styleId="17">
    <w:name w:val="first-child"/>
    <w:basedOn w:val="5"/>
    <w:uiPriority w:val="0"/>
    <w:rPr>
      <w:bdr w:val="none" w:color="auto" w:sz="0" w:space="0"/>
    </w:rPr>
  </w:style>
  <w:style w:type="character" w:customStyle="1" w:styleId="18">
    <w:name w:val="article_print1"/>
    <w:basedOn w:val="5"/>
    <w:uiPriority w:val="0"/>
    <w:rPr>
      <w:bdr w:val="none" w:color="auto" w:sz="0" w:space="0"/>
    </w:rPr>
  </w:style>
  <w:style w:type="character" w:customStyle="1" w:styleId="19">
    <w:name w:val="first-child1"/>
    <w:basedOn w:val="5"/>
    <w:uiPriority w:val="0"/>
    <w:rPr>
      <w:bdr w:val="none" w:color="auto" w:sz="0" w:space="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Office_11.1.0.8002_F1E327BC-269C-435d-A152-05C5408002CA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2020-09-08T07:10:00Z</dcterms:created>
  <dc:creator>Administrator</dc:creator>
  <cp:lastModifiedBy>Administrator</cp:lastModifiedBy>
  <dcterms:modified xsi:type="dcterms:W3CDTF">2020-09-08T08:15:00Z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2052-11.1.0.8002</vt:lpwstr>
  </property>
</Properties>
</file>