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科技特派员后补</w:t>
      </w:r>
      <w:r>
        <w:rPr>
          <w:rFonts w:hint="eastAsia" w:ascii="仿宋" w:hAnsi="仿宋" w:eastAsia="仿宋" w:cs="仿宋"/>
          <w:b/>
          <w:kern w:val="0"/>
          <w:sz w:val="32"/>
          <w:szCs w:val="32"/>
        </w:rPr>
        <w:t>助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项目已有投资明细表</w:t>
      </w:r>
    </w:p>
    <w:tbl>
      <w:tblPr>
        <w:tblStyle w:val="3"/>
        <w:tblW w:w="9848" w:type="dxa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9"/>
        <w:gridCol w:w="3392"/>
        <w:gridCol w:w="1502"/>
        <w:gridCol w:w="1253"/>
        <w:gridCol w:w="414"/>
        <w:gridCol w:w="71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769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申请单位（盖章）：</w:t>
            </w:r>
          </w:p>
        </w:tc>
        <w:tc>
          <w:tcPr>
            <w:tcW w:w="3391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金额单位：元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列支科目</w:t>
            </w:r>
          </w:p>
        </w:tc>
        <w:tc>
          <w:tcPr>
            <w:tcW w:w="3391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支出摘要</w:t>
            </w: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记帐凭证号</w:t>
            </w:r>
          </w:p>
        </w:tc>
        <w:tc>
          <w:tcPr>
            <w:tcW w:w="125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1125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票据张数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3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2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设备费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bookmarkStart w:id="0" w:name="_GoBack"/>
            <w:bookmarkEnd w:id="0"/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测试化验加工费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燃料动力费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差旅费、会议费、国际合作与交流费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出版/文献/信息传播/知识产权事务费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劳务费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专家咨询费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其他支出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1.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2.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</w:rPr>
              <w:t>3.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总计</w:t>
            </w:r>
          </w:p>
        </w:tc>
        <w:tc>
          <w:tcPr>
            <w:tcW w:w="1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1.此表应分各承担单位，并加盖公章。</w:t>
            </w:r>
          </w:p>
        </w:tc>
        <w:tc>
          <w:tcPr>
            <w:tcW w:w="71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2.已投资费用应与本项目研发任务相关，符合福建省级科技计划项目经费管理办法和补充办法有关规定，并有正规票据。</w:t>
            </w:r>
          </w:p>
        </w:tc>
        <w:tc>
          <w:tcPr>
            <w:tcW w:w="71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NGE3YTFiZjYyMTBiOTQ1YzkyNDFlMWMyOTlkNTYifQ=="/>
  </w:docVars>
  <w:rsids>
    <w:rsidRoot w:val="55735DE7"/>
    <w:rsid w:val="5573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2022-09-22T02:28:00Z</dcterms:created>
  <dc:creator>wengting.</dc:creator>
  <cp:lastModifiedBy>wengting.</cp:lastModifiedBy>
  <dcterms:modified xsi:type="dcterms:W3CDTF">2022-09-22T02:29:28Z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CE35AEDFC7C24E5D9E5C33BD0F7649F0</vt:lpwstr>
  </property>
</Properties>
</file>