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tabs>
          <w:tab w:val="left" w:pos="2383"/>
        </w:tabs>
        <w:spacing w:line="52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附件1</w:t>
      </w:r>
    </w:p>
    <w:p>
      <w:pPr>
        <w:widowControl/>
        <w:shd w:val="clear" w:color="auto" w:fill="FFFFFF"/>
        <w:tabs>
          <w:tab w:val="left" w:pos="2383"/>
        </w:tabs>
        <w:spacing w:line="520" w:lineRule="exact"/>
        <w:jc w:val="left"/>
        <w:rPr>
          <w:rFonts w:ascii="仿宋" w:hAnsi="仿宋" w:eastAsia="仿宋" w:cs="宋体"/>
          <w:color w:val="000000"/>
          <w:kern w:val="0"/>
          <w:sz w:val="32"/>
          <w:szCs w:val="32"/>
        </w:rPr>
      </w:pPr>
    </w:p>
    <w:p>
      <w:pPr>
        <w:jc w:val="center"/>
        <w:rPr>
          <w:rFonts w:ascii="仿宋" w:hAnsi="仿宋" w:eastAsia="仿宋" w:cs="宋体"/>
          <w:b/>
          <w:bCs/>
          <w:color w:val="000000"/>
          <w:kern w:val="0"/>
          <w:sz w:val="36"/>
          <w:szCs w:val="36"/>
        </w:rPr>
      </w:pPr>
      <w:bookmarkStart w:id="0" w:name="_GoBack"/>
      <w:r>
        <w:rPr>
          <w:rFonts w:hint="eastAsia" w:ascii="仿宋" w:hAnsi="仿宋" w:eastAsia="仿宋" w:cs="宋体"/>
          <w:b/>
          <w:bCs/>
          <w:color w:val="000000"/>
          <w:kern w:val="0"/>
          <w:sz w:val="36"/>
          <w:szCs w:val="36"/>
        </w:rPr>
        <w:t>福州市晋安生态环境局2022.6-2024年度晋安区空气自动监测站新增4套设备运维服务项目</w:t>
      </w:r>
      <w:bookmarkEnd w:id="0"/>
      <w:r>
        <w:rPr>
          <w:rFonts w:hint="eastAsia" w:ascii="仿宋" w:hAnsi="仿宋" w:eastAsia="仿宋" w:cs="宋体"/>
          <w:b/>
          <w:bCs/>
          <w:color w:val="000000"/>
          <w:kern w:val="0"/>
          <w:sz w:val="36"/>
          <w:szCs w:val="36"/>
        </w:rPr>
        <w:t xml:space="preserve"> </w:t>
      </w:r>
    </w:p>
    <w:p>
      <w:pPr>
        <w:jc w:val="center"/>
        <w:rPr>
          <w:rFonts w:ascii="仿宋" w:hAnsi="仿宋" w:eastAsia="仿宋" w:cs="宋体"/>
          <w:b/>
          <w:bCs/>
          <w:color w:val="000000"/>
          <w:kern w:val="0"/>
          <w:sz w:val="36"/>
          <w:szCs w:val="36"/>
        </w:rPr>
      </w:pPr>
    </w:p>
    <w:p>
      <w:pPr>
        <w:rPr>
          <w:rFonts w:ascii="仿宋" w:hAnsi="仿宋" w:eastAsia="仿宋" w:cs="宋体"/>
          <w:b/>
          <w:color w:val="000000"/>
          <w:kern w:val="0"/>
          <w:sz w:val="32"/>
          <w:szCs w:val="32"/>
        </w:rPr>
      </w:pPr>
      <w:r>
        <w:rPr>
          <w:rFonts w:hint="eastAsia" w:ascii="仿宋" w:hAnsi="仿宋" w:eastAsia="仿宋" w:cs="宋体"/>
          <w:b/>
          <w:color w:val="000000"/>
          <w:kern w:val="0"/>
          <w:sz w:val="32"/>
          <w:szCs w:val="32"/>
        </w:rPr>
        <w:t>1</w:t>
      </w:r>
      <w:r>
        <w:rPr>
          <w:rFonts w:hint="eastAsia" w:ascii="仿宋" w:hAnsi="仿宋" w:eastAsia="仿宋" w:cs="宋体"/>
          <w:b/>
          <w:color w:val="000000"/>
          <w:kern w:val="0"/>
          <w:sz w:val="32"/>
          <w:szCs w:val="32"/>
        </w:rPr>
        <w:tab/>
      </w:r>
      <w:r>
        <w:rPr>
          <w:rFonts w:hint="eastAsia" w:ascii="仿宋" w:hAnsi="仿宋" w:eastAsia="仿宋" w:cs="宋体"/>
          <w:b/>
          <w:color w:val="000000"/>
          <w:kern w:val="0"/>
          <w:sz w:val="32"/>
          <w:szCs w:val="32"/>
        </w:rPr>
        <w:t>基本要求</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本项目为对晋安区4个空气自动站VOCs的所有监测仪器、质控设备、数据采集与传输设备、辅助设备等设施的日常运行维护、故障维修、年度检修等工作(包括且不限于)，确保晋安区4个空气自动站VOCs监测系统正常稳定运行。运维服务期限为2022年6月1日-2024年12月31日。</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1.1 运行维护仪器设备清单</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表1为晋安区4个空气自动站VOCs主要监测仪器品牌、型号及放置地点。</w:t>
      </w:r>
    </w:p>
    <w:p>
      <w:pPr>
        <w:pStyle w:val="4"/>
        <w:tabs>
          <w:tab w:val="left" w:pos="1237"/>
        </w:tabs>
        <w:ind w:left="458"/>
        <w:jc w:val="center"/>
        <w:rPr>
          <w:rFonts w:ascii="宋体" w:hAnsi="宋体" w:eastAsia="宋体"/>
          <w:sz w:val="24"/>
          <w:szCs w:val="24"/>
          <w:lang w:eastAsia="zh-CN"/>
        </w:rPr>
      </w:pPr>
      <w:r>
        <w:rPr>
          <w:rFonts w:ascii="宋体" w:hAnsi="宋体" w:eastAsia="宋体"/>
          <w:sz w:val="24"/>
          <w:szCs w:val="24"/>
          <w:lang w:eastAsia="zh-CN"/>
        </w:rPr>
        <w:t>表</w:t>
      </w:r>
      <w:r>
        <w:rPr>
          <w:rFonts w:hint="eastAsia" w:ascii="宋体" w:hAnsi="宋体" w:eastAsia="宋体"/>
          <w:sz w:val="24"/>
          <w:szCs w:val="24"/>
          <w:lang w:eastAsia="zh-CN"/>
        </w:rPr>
        <w:t>1</w:t>
      </w:r>
      <w:r>
        <w:rPr>
          <w:rFonts w:ascii="宋体" w:hAnsi="宋体" w:eastAsia="宋体"/>
          <w:sz w:val="24"/>
          <w:szCs w:val="24"/>
          <w:lang w:eastAsia="zh-CN"/>
        </w:rPr>
        <w:tab/>
      </w:r>
      <w:r>
        <w:rPr>
          <w:rFonts w:hint="eastAsia" w:ascii="宋体" w:hAnsi="宋体" w:eastAsia="宋体"/>
          <w:sz w:val="24"/>
          <w:szCs w:val="24"/>
          <w:lang w:eastAsia="zh-CN"/>
        </w:rPr>
        <w:t>晋安区VOCs</w:t>
      </w:r>
      <w:r>
        <w:rPr>
          <w:rFonts w:ascii="宋体" w:hAnsi="宋体" w:eastAsia="宋体"/>
          <w:sz w:val="24"/>
          <w:szCs w:val="24"/>
          <w:lang w:eastAsia="zh-CN"/>
        </w:rPr>
        <w:t>监测仪器配置清单</w:t>
      </w:r>
    </w:p>
    <w:p>
      <w:pPr>
        <w:pStyle w:val="4"/>
        <w:spacing w:before="10"/>
        <w:rPr>
          <w:rFonts w:ascii="宋体" w:hAnsi="宋体" w:eastAsia="宋体"/>
          <w:sz w:val="24"/>
          <w:szCs w:val="24"/>
          <w:lang w:eastAsia="zh-CN"/>
        </w:rPr>
      </w:pPr>
    </w:p>
    <w:tbl>
      <w:tblPr>
        <w:tblStyle w:val="9"/>
        <w:tblW w:w="8162" w:type="dxa"/>
        <w:tblInd w:w="139"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4307"/>
        <w:gridCol w:w="1530"/>
        <w:gridCol w:w="2325"/>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54" w:hRule="exact"/>
        </w:trPr>
        <w:tc>
          <w:tcPr>
            <w:tcW w:w="4307" w:type="dxa"/>
            <w:tcBorders>
              <w:left w:val="single" w:color="000000" w:sz="6" w:space="0"/>
              <w:bottom w:val="single" w:color="000000" w:sz="6" w:space="0"/>
              <w:right w:val="single" w:color="000000" w:sz="6" w:space="0"/>
            </w:tcBorders>
          </w:tcPr>
          <w:p>
            <w:pPr>
              <w:pStyle w:val="21"/>
              <w:tabs>
                <w:tab w:val="left" w:pos="1023"/>
                <w:tab w:val="left" w:pos="4200"/>
              </w:tabs>
              <w:spacing w:before="180" w:line="240" w:lineRule="exact"/>
              <w:ind w:right="483"/>
              <w:rPr>
                <w:b/>
              </w:rPr>
            </w:pPr>
            <w:r>
              <w:rPr>
                <w:b/>
              </w:rPr>
              <w:t>点位名称</w:t>
            </w:r>
          </w:p>
        </w:tc>
        <w:tc>
          <w:tcPr>
            <w:tcW w:w="1530" w:type="dxa"/>
            <w:tcBorders>
              <w:left w:val="single" w:color="000000" w:sz="6" w:space="0"/>
              <w:bottom w:val="single" w:color="000000" w:sz="6" w:space="0"/>
              <w:right w:val="single" w:color="000000" w:sz="6" w:space="0"/>
            </w:tcBorders>
          </w:tcPr>
          <w:p>
            <w:pPr>
              <w:pStyle w:val="21"/>
              <w:tabs>
                <w:tab w:val="left" w:pos="582"/>
              </w:tabs>
              <w:spacing w:before="180" w:line="240" w:lineRule="exact"/>
              <w:rPr>
                <w:b/>
              </w:rPr>
            </w:pPr>
            <w:r>
              <w:rPr>
                <w:b/>
              </w:rPr>
              <w:t>品</w:t>
            </w:r>
            <w:r>
              <w:rPr>
                <w:b/>
              </w:rPr>
              <w:tab/>
            </w:r>
            <w:r>
              <w:rPr>
                <w:b/>
              </w:rPr>
              <w:t>牌</w:t>
            </w:r>
          </w:p>
        </w:tc>
        <w:tc>
          <w:tcPr>
            <w:tcW w:w="2325" w:type="dxa"/>
            <w:tcBorders>
              <w:left w:val="single" w:color="000000" w:sz="6" w:space="0"/>
              <w:bottom w:val="single" w:color="000000" w:sz="6" w:space="0"/>
              <w:right w:val="single" w:color="000000" w:sz="6" w:space="0"/>
            </w:tcBorders>
          </w:tcPr>
          <w:p>
            <w:pPr>
              <w:pStyle w:val="21"/>
              <w:spacing w:before="180" w:line="240" w:lineRule="exact"/>
              <w:rPr>
                <w:b/>
              </w:rPr>
            </w:pPr>
            <w:r>
              <w:rPr>
                <w:b/>
              </w:rPr>
              <w:t>型号</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54" w:hRule="exact"/>
        </w:trPr>
        <w:tc>
          <w:tcPr>
            <w:tcW w:w="4307" w:type="dxa"/>
            <w:tcBorders>
              <w:top w:val="single" w:color="000000" w:sz="6" w:space="0"/>
              <w:left w:val="single" w:color="000000" w:sz="6" w:space="0"/>
              <w:bottom w:val="single" w:color="000000" w:sz="6" w:space="0"/>
              <w:right w:val="single" w:color="000000" w:sz="6" w:space="0"/>
            </w:tcBorders>
            <w:vAlign w:val="center"/>
          </w:tcPr>
          <w:p>
            <w:pPr>
              <w:pStyle w:val="21"/>
              <w:spacing w:before="18" w:line="240" w:lineRule="exact"/>
              <w:ind w:right="293"/>
              <w:rPr>
                <w:rFonts w:eastAsia="宋体"/>
                <w:lang w:eastAsia="zh-CN"/>
              </w:rPr>
            </w:pPr>
            <w:r>
              <w:rPr>
                <w:rFonts w:hint="eastAsia" w:eastAsia="宋体"/>
                <w:lang w:eastAsia="zh-CN"/>
              </w:rPr>
              <w:t>鼓山苑小学站</w:t>
            </w:r>
          </w:p>
        </w:tc>
        <w:tc>
          <w:tcPr>
            <w:tcW w:w="1530" w:type="dxa"/>
            <w:tcBorders>
              <w:top w:val="single" w:color="000000" w:sz="6" w:space="0"/>
              <w:left w:val="single" w:color="000000" w:sz="6" w:space="0"/>
              <w:bottom w:val="single" w:color="000000" w:sz="6" w:space="0"/>
              <w:right w:val="single" w:color="000000" w:sz="6" w:space="0"/>
            </w:tcBorders>
            <w:vAlign w:val="center"/>
          </w:tcPr>
          <w:p>
            <w:pPr>
              <w:pStyle w:val="21"/>
              <w:spacing w:before="0" w:line="240" w:lineRule="exact"/>
              <w:rPr>
                <w:rFonts w:eastAsia="宋体"/>
                <w:lang w:eastAsia="zh-CN"/>
              </w:rPr>
            </w:pPr>
            <w:r>
              <w:rPr>
                <w:rFonts w:hint="eastAsia" w:eastAsia="宋体"/>
                <w:lang w:eastAsia="zh-CN"/>
              </w:rPr>
              <w:t>热电</w:t>
            </w:r>
          </w:p>
        </w:tc>
        <w:tc>
          <w:tcPr>
            <w:tcW w:w="2325" w:type="dxa"/>
            <w:tcBorders>
              <w:top w:val="single" w:color="000000" w:sz="6" w:space="0"/>
              <w:left w:val="single" w:color="000000" w:sz="6" w:space="0"/>
              <w:bottom w:val="single" w:color="000000" w:sz="6" w:space="0"/>
              <w:right w:val="single" w:color="000000" w:sz="6" w:space="0"/>
            </w:tcBorders>
            <w:vAlign w:val="center"/>
          </w:tcPr>
          <w:p>
            <w:pPr>
              <w:pStyle w:val="21"/>
              <w:spacing w:before="0" w:line="240" w:lineRule="exact"/>
              <w:ind w:left="0" w:firstLine="440" w:firstLineChars="200"/>
              <w:rPr>
                <w:rFonts w:eastAsia="宋体"/>
                <w:lang w:eastAsia="zh-CN"/>
              </w:rPr>
            </w:pPr>
            <w:r>
              <w:rPr>
                <w:rFonts w:hint="eastAsia" w:eastAsia="宋体"/>
                <w:lang w:eastAsia="zh-CN"/>
              </w:rPr>
              <w:t>5900-B</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54" w:hRule="exact"/>
        </w:trPr>
        <w:tc>
          <w:tcPr>
            <w:tcW w:w="4307" w:type="dxa"/>
            <w:tcBorders>
              <w:top w:val="single" w:color="000000" w:sz="6" w:space="0"/>
              <w:left w:val="single" w:color="000000" w:sz="6" w:space="0"/>
              <w:bottom w:val="single" w:color="000000" w:sz="6" w:space="0"/>
              <w:right w:val="single" w:color="000000" w:sz="6" w:space="0"/>
            </w:tcBorders>
            <w:vAlign w:val="center"/>
          </w:tcPr>
          <w:p>
            <w:pPr>
              <w:pStyle w:val="21"/>
              <w:spacing w:before="18" w:line="240" w:lineRule="exact"/>
              <w:ind w:right="293"/>
              <w:rPr>
                <w:lang w:eastAsia="zh-CN"/>
              </w:rPr>
            </w:pPr>
            <w:r>
              <w:rPr>
                <w:rFonts w:hint="eastAsia" w:eastAsia="宋体"/>
                <w:lang w:eastAsia="zh-CN"/>
              </w:rPr>
              <w:t>秀山站</w:t>
            </w:r>
          </w:p>
        </w:tc>
        <w:tc>
          <w:tcPr>
            <w:tcW w:w="1530" w:type="dxa"/>
            <w:tcBorders>
              <w:top w:val="single" w:color="000000" w:sz="6" w:space="0"/>
              <w:left w:val="single" w:color="000000" w:sz="6" w:space="0"/>
              <w:bottom w:val="single" w:color="000000" w:sz="6" w:space="0"/>
              <w:right w:val="single" w:color="000000" w:sz="6" w:space="0"/>
            </w:tcBorders>
            <w:vAlign w:val="center"/>
          </w:tcPr>
          <w:p>
            <w:pPr>
              <w:pStyle w:val="21"/>
              <w:spacing w:before="0" w:line="240" w:lineRule="exact"/>
              <w:rPr>
                <w:rFonts w:eastAsia="宋体"/>
                <w:lang w:eastAsia="zh-CN"/>
              </w:rPr>
            </w:pPr>
            <w:r>
              <w:rPr>
                <w:rFonts w:hint="eastAsia" w:eastAsia="宋体"/>
                <w:lang w:eastAsia="zh-CN"/>
              </w:rPr>
              <w:t>热电</w:t>
            </w:r>
          </w:p>
        </w:tc>
        <w:tc>
          <w:tcPr>
            <w:tcW w:w="2325" w:type="dxa"/>
            <w:tcBorders>
              <w:top w:val="single" w:color="000000" w:sz="6" w:space="0"/>
              <w:left w:val="single" w:color="000000" w:sz="6" w:space="0"/>
              <w:bottom w:val="single" w:color="000000" w:sz="6" w:space="0"/>
              <w:right w:val="single" w:color="000000" w:sz="6" w:space="0"/>
            </w:tcBorders>
            <w:vAlign w:val="center"/>
          </w:tcPr>
          <w:p>
            <w:pPr>
              <w:pStyle w:val="21"/>
              <w:spacing w:before="0" w:line="240" w:lineRule="exact"/>
              <w:ind w:left="0" w:firstLine="440" w:firstLineChars="200"/>
              <w:rPr>
                <w:rFonts w:eastAsia="宋体"/>
                <w:lang w:eastAsia="zh-CN"/>
              </w:rPr>
            </w:pPr>
            <w:r>
              <w:rPr>
                <w:rFonts w:hint="eastAsia" w:eastAsia="宋体"/>
                <w:lang w:eastAsia="zh-CN"/>
              </w:rPr>
              <w:t>5900-B</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54" w:hRule="exact"/>
        </w:trPr>
        <w:tc>
          <w:tcPr>
            <w:tcW w:w="4307" w:type="dxa"/>
            <w:tcBorders>
              <w:top w:val="single" w:color="000000" w:sz="6" w:space="0"/>
              <w:left w:val="single" w:color="000000" w:sz="6" w:space="0"/>
              <w:bottom w:val="single" w:color="000000" w:sz="6" w:space="0"/>
              <w:right w:val="single" w:color="000000" w:sz="6" w:space="0"/>
            </w:tcBorders>
            <w:vAlign w:val="center"/>
          </w:tcPr>
          <w:p>
            <w:pPr>
              <w:pStyle w:val="21"/>
              <w:spacing w:before="18" w:line="240" w:lineRule="exact"/>
              <w:ind w:right="293"/>
              <w:rPr>
                <w:lang w:eastAsia="zh-CN"/>
              </w:rPr>
            </w:pPr>
            <w:r>
              <w:rPr>
                <w:rFonts w:hint="eastAsia" w:eastAsia="宋体"/>
                <w:lang w:eastAsia="zh-CN"/>
              </w:rPr>
              <w:t>下院站</w:t>
            </w:r>
          </w:p>
        </w:tc>
        <w:tc>
          <w:tcPr>
            <w:tcW w:w="1530" w:type="dxa"/>
            <w:tcBorders>
              <w:top w:val="single" w:color="000000" w:sz="6" w:space="0"/>
              <w:left w:val="single" w:color="000000" w:sz="6" w:space="0"/>
              <w:bottom w:val="single" w:color="000000" w:sz="6" w:space="0"/>
              <w:right w:val="single" w:color="000000" w:sz="6" w:space="0"/>
            </w:tcBorders>
            <w:vAlign w:val="center"/>
          </w:tcPr>
          <w:p>
            <w:pPr>
              <w:pStyle w:val="21"/>
              <w:spacing w:before="0" w:line="240" w:lineRule="exact"/>
              <w:rPr>
                <w:rFonts w:eastAsia="宋体"/>
                <w:lang w:eastAsia="zh-CN"/>
              </w:rPr>
            </w:pPr>
            <w:r>
              <w:rPr>
                <w:rFonts w:hint="eastAsia" w:eastAsia="宋体"/>
                <w:lang w:eastAsia="zh-CN"/>
              </w:rPr>
              <w:t>热电</w:t>
            </w:r>
          </w:p>
        </w:tc>
        <w:tc>
          <w:tcPr>
            <w:tcW w:w="2325" w:type="dxa"/>
            <w:tcBorders>
              <w:top w:val="single" w:color="000000" w:sz="6" w:space="0"/>
              <w:left w:val="single" w:color="000000" w:sz="6" w:space="0"/>
              <w:bottom w:val="single" w:color="000000" w:sz="6" w:space="0"/>
              <w:right w:val="single" w:color="000000" w:sz="6" w:space="0"/>
            </w:tcBorders>
            <w:vAlign w:val="center"/>
          </w:tcPr>
          <w:p>
            <w:pPr>
              <w:pStyle w:val="21"/>
              <w:spacing w:before="0" w:line="240" w:lineRule="exact"/>
              <w:ind w:left="0" w:firstLine="440" w:firstLineChars="200"/>
              <w:rPr>
                <w:rFonts w:eastAsia="宋体"/>
                <w:lang w:eastAsia="zh-CN"/>
              </w:rPr>
            </w:pPr>
            <w:r>
              <w:rPr>
                <w:rFonts w:hint="eastAsia" w:eastAsia="宋体"/>
                <w:lang w:eastAsia="zh-CN"/>
              </w:rPr>
              <w:t>5900-B</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54" w:hRule="exact"/>
        </w:trPr>
        <w:tc>
          <w:tcPr>
            <w:tcW w:w="4307" w:type="dxa"/>
            <w:tcBorders>
              <w:top w:val="single" w:color="000000" w:sz="6" w:space="0"/>
              <w:left w:val="single" w:color="000000" w:sz="6" w:space="0"/>
              <w:bottom w:val="single" w:color="000000" w:sz="6" w:space="0"/>
              <w:right w:val="single" w:color="000000" w:sz="6" w:space="0"/>
            </w:tcBorders>
            <w:vAlign w:val="center"/>
          </w:tcPr>
          <w:p>
            <w:pPr>
              <w:pStyle w:val="21"/>
              <w:spacing w:before="18" w:line="240" w:lineRule="exact"/>
              <w:ind w:right="293"/>
              <w:rPr>
                <w:lang w:eastAsia="zh-CN"/>
              </w:rPr>
            </w:pPr>
            <w:r>
              <w:rPr>
                <w:rFonts w:hint="eastAsia" w:eastAsia="宋体"/>
                <w:lang w:eastAsia="zh-CN"/>
              </w:rPr>
              <w:t>32中站</w:t>
            </w:r>
          </w:p>
        </w:tc>
        <w:tc>
          <w:tcPr>
            <w:tcW w:w="1530" w:type="dxa"/>
            <w:tcBorders>
              <w:top w:val="single" w:color="000000" w:sz="6" w:space="0"/>
              <w:left w:val="single" w:color="000000" w:sz="6" w:space="0"/>
              <w:bottom w:val="single" w:color="000000" w:sz="6" w:space="0"/>
              <w:right w:val="single" w:color="000000" w:sz="6" w:space="0"/>
            </w:tcBorders>
            <w:vAlign w:val="center"/>
          </w:tcPr>
          <w:p>
            <w:pPr>
              <w:pStyle w:val="21"/>
              <w:spacing w:before="0" w:line="240" w:lineRule="exact"/>
              <w:rPr>
                <w:rFonts w:eastAsia="宋体"/>
                <w:lang w:eastAsia="zh-CN"/>
              </w:rPr>
            </w:pPr>
            <w:r>
              <w:rPr>
                <w:rFonts w:hint="eastAsia" w:eastAsia="宋体"/>
                <w:lang w:eastAsia="zh-CN"/>
              </w:rPr>
              <w:t>热电</w:t>
            </w:r>
          </w:p>
        </w:tc>
        <w:tc>
          <w:tcPr>
            <w:tcW w:w="2325" w:type="dxa"/>
            <w:tcBorders>
              <w:top w:val="single" w:color="000000" w:sz="6" w:space="0"/>
              <w:left w:val="single" w:color="000000" w:sz="6" w:space="0"/>
              <w:bottom w:val="single" w:color="000000" w:sz="6" w:space="0"/>
              <w:right w:val="single" w:color="000000" w:sz="6" w:space="0"/>
            </w:tcBorders>
            <w:vAlign w:val="center"/>
          </w:tcPr>
          <w:p>
            <w:pPr>
              <w:pStyle w:val="21"/>
              <w:spacing w:before="0" w:line="240" w:lineRule="exact"/>
              <w:ind w:left="0" w:firstLine="440" w:firstLineChars="200"/>
              <w:rPr>
                <w:rFonts w:eastAsia="宋体"/>
                <w:lang w:eastAsia="zh-CN"/>
              </w:rPr>
            </w:pPr>
            <w:r>
              <w:rPr>
                <w:rFonts w:hint="eastAsia" w:eastAsia="宋体"/>
                <w:lang w:eastAsia="zh-CN"/>
              </w:rPr>
              <w:t>5900-B</w:t>
            </w:r>
          </w:p>
        </w:tc>
      </w:tr>
    </w:tbl>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1.2 VOCs在线分析系统监测物质列表 </w:t>
      </w:r>
    </w:p>
    <w:p>
      <w:pPr>
        <w:widowControl/>
        <w:ind w:firstLine="723" w:firstLineChars="300"/>
        <w:jc w:val="center"/>
        <w:rPr>
          <w:rFonts w:ascii="宋体" w:hAnsi="宋体"/>
          <w:sz w:val="24"/>
          <w:szCs w:val="24"/>
        </w:rPr>
      </w:pPr>
      <w:r>
        <w:rPr>
          <w:rFonts w:hint="eastAsia" w:ascii="宋体" w:hAnsi="宋体" w:cs="宋体"/>
          <w:b/>
          <w:bCs/>
          <w:color w:val="000000"/>
          <w:sz w:val="24"/>
          <w:szCs w:val="24"/>
        </w:rPr>
        <w:t>表2  VOCs监测物质组分列表</w:t>
      </w:r>
    </w:p>
    <w:tbl>
      <w:tblPr>
        <w:tblStyle w:val="9"/>
        <w:tblpPr w:leftFromText="180" w:rightFromText="180" w:vertAnchor="text" w:horzAnchor="page" w:tblpX="1899" w:tblpY="300"/>
        <w:tblOverlap w:val="never"/>
        <w:tblW w:w="85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8"/>
        <w:gridCol w:w="2463"/>
        <w:gridCol w:w="2859"/>
        <w:gridCol w:w="1465"/>
        <w:gridCol w:w="10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18" w:type="dxa"/>
          </w:tcPr>
          <w:p>
            <w:pPr>
              <w:pStyle w:val="21"/>
              <w:spacing w:before="22"/>
              <w:ind w:left="126" w:right="120"/>
              <w:rPr>
                <w:rFonts w:ascii="宋体" w:hAnsi="宋体" w:eastAsia="宋体" w:cs="宋体"/>
                <w:b/>
                <w:sz w:val="21"/>
              </w:rPr>
            </w:pPr>
            <w:r>
              <w:rPr>
                <w:rFonts w:hint="eastAsia" w:ascii="宋体" w:hAnsi="宋体" w:eastAsia="宋体" w:cs="宋体"/>
                <w:b/>
                <w:sz w:val="21"/>
              </w:rPr>
              <w:t>序号</w:t>
            </w:r>
          </w:p>
        </w:tc>
        <w:tc>
          <w:tcPr>
            <w:tcW w:w="2463" w:type="dxa"/>
          </w:tcPr>
          <w:p>
            <w:pPr>
              <w:pStyle w:val="21"/>
              <w:spacing w:before="22"/>
              <w:ind w:left="379" w:right="371"/>
              <w:rPr>
                <w:rFonts w:ascii="宋体" w:hAnsi="宋体" w:eastAsia="宋体" w:cs="宋体"/>
                <w:b/>
                <w:sz w:val="21"/>
              </w:rPr>
            </w:pPr>
            <w:r>
              <w:rPr>
                <w:rFonts w:hint="eastAsia" w:ascii="宋体" w:hAnsi="宋体" w:eastAsia="宋体" w:cs="宋体"/>
                <w:b/>
                <w:sz w:val="21"/>
              </w:rPr>
              <w:t>化合物中文名</w:t>
            </w:r>
          </w:p>
        </w:tc>
        <w:tc>
          <w:tcPr>
            <w:tcW w:w="2859" w:type="dxa"/>
          </w:tcPr>
          <w:p>
            <w:pPr>
              <w:pStyle w:val="21"/>
              <w:spacing w:before="0"/>
              <w:ind w:left="0" w:right="0"/>
              <w:rPr>
                <w:rFonts w:ascii="宋体" w:hAnsi="宋体" w:eastAsia="宋体" w:cs="宋体"/>
                <w:b/>
                <w:sz w:val="21"/>
              </w:rPr>
            </w:pPr>
            <w:r>
              <w:rPr>
                <w:rFonts w:hint="eastAsia" w:ascii="宋体" w:hAnsi="宋体" w:eastAsia="宋体" w:cs="宋体"/>
                <w:b/>
                <w:sz w:val="21"/>
              </w:rPr>
              <w:t>化合物英文名</w:t>
            </w:r>
          </w:p>
        </w:tc>
        <w:tc>
          <w:tcPr>
            <w:tcW w:w="1465" w:type="dxa"/>
          </w:tcPr>
          <w:p>
            <w:pPr>
              <w:pStyle w:val="21"/>
              <w:spacing w:before="0"/>
              <w:ind w:left="0" w:right="0"/>
              <w:rPr>
                <w:rFonts w:ascii="宋体" w:hAnsi="宋体" w:eastAsia="宋体" w:cs="宋体"/>
                <w:b/>
                <w:sz w:val="21"/>
              </w:rPr>
            </w:pPr>
            <w:r>
              <w:rPr>
                <w:rFonts w:hint="eastAsia" w:ascii="宋体" w:hAnsi="宋体" w:eastAsia="宋体" w:cs="宋体"/>
                <w:b/>
                <w:sz w:val="21"/>
              </w:rPr>
              <w:t>CAS号</w:t>
            </w:r>
          </w:p>
        </w:tc>
        <w:tc>
          <w:tcPr>
            <w:tcW w:w="1020" w:type="dxa"/>
          </w:tcPr>
          <w:p>
            <w:pPr>
              <w:pStyle w:val="21"/>
              <w:spacing w:before="0"/>
              <w:ind w:left="0" w:right="0"/>
              <w:rPr>
                <w:rFonts w:ascii="宋体" w:hAnsi="宋体" w:eastAsia="宋体" w:cs="宋体"/>
                <w:b/>
                <w:sz w:val="21"/>
              </w:rPr>
            </w:pPr>
            <w:r>
              <w:rPr>
                <w:rFonts w:hint="eastAsia" w:ascii="宋体" w:hAnsi="宋体" w:eastAsia="宋体" w:cs="宋体"/>
                <w:b/>
                <w:sz w:val="21"/>
              </w:rPr>
              <w:t>种别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18" w:type="dxa"/>
            <w:vAlign w:val="center"/>
          </w:tcPr>
          <w:p>
            <w:pPr>
              <w:pStyle w:val="21"/>
              <w:ind w:left="6" w:right="0"/>
              <w:rPr>
                <w:rFonts w:ascii="宋体" w:hAnsi="宋体" w:eastAsia="宋体" w:cs="宋体"/>
                <w:sz w:val="21"/>
              </w:rPr>
            </w:pPr>
            <w:r>
              <w:rPr>
                <w:rFonts w:hint="eastAsia" w:ascii="宋体" w:hAnsi="宋体" w:eastAsia="宋体" w:cs="宋体"/>
                <w:sz w:val="21"/>
              </w:rPr>
              <w:t>1</w:t>
            </w:r>
          </w:p>
        </w:tc>
        <w:tc>
          <w:tcPr>
            <w:tcW w:w="2463" w:type="dxa"/>
            <w:vAlign w:val="center"/>
          </w:tcPr>
          <w:p>
            <w:pPr>
              <w:pStyle w:val="21"/>
              <w:spacing w:before="22"/>
              <w:ind w:left="379" w:right="371"/>
              <w:rPr>
                <w:rFonts w:ascii="宋体" w:hAnsi="宋体" w:eastAsia="宋体" w:cs="宋体"/>
                <w:sz w:val="21"/>
                <w:lang w:eastAsia="zh-CN"/>
              </w:rPr>
            </w:pPr>
            <w:r>
              <w:rPr>
                <w:rFonts w:hint="eastAsia" w:ascii="宋体" w:hAnsi="宋体" w:eastAsia="宋体" w:cs="宋体"/>
                <w:sz w:val="21"/>
                <w:lang w:eastAsia="zh-CN"/>
              </w:rPr>
              <w:t>甲烷</w:t>
            </w:r>
          </w:p>
        </w:tc>
        <w:tc>
          <w:tcPr>
            <w:tcW w:w="2859" w:type="dxa"/>
            <w:vAlign w:val="center"/>
          </w:tcPr>
          <w:p>
            <w:pPr>
              <w:pStyle w:val="21"/>
              <w:spacing w:before="0"/>
              <w:ind w:left="0" w:right="0"/>
              <w:rPr>
                <w:rFonts w:ascii="宋体" w:hAnsi="宋体" w:eastAsia="宋体" w:cs="宋体"/>
                <w:sz w:val="21"/>
              </w:rPr>
            </w:pPr>
            <w:r>
              <w:rPr>
                <w:rFonts w:hint="eastAsia" w:ascii="宋体" w:hAnsi="宋体" w:eastAsia="宋体" w:cs="宋体"/>
                <w:sz w:val="21"/>
                <w:lang w:eastAsia="zh-CN"/>
              </w:rPr>
              <w:t>M</w:t>
            </w:r>
            <w:r>
              <w:rPr>
                <w:rFonts w:hint="eastAsia" w:ascii="宋体" w:hAnsi="宋体" w:eastAsia="宋体" w:cs="宋体"/>
                <w:sz w:val="21"/>
              </w:rPr>
              <w:t>ethane</w:t>
            </w:r>
          </w:p>
        </w:tc>
        <w:tc>
          <w:tcPr>
            <w:tcW w:w="1465" w:type="dxa"/>
            <w:vAlign w:val="center"/>
          </w:tcPr>
          <w:p>
            <w:pPr>
              <w:pStyle w:val="21"/>
              <w:spacing w:before="0"/>
              <w:ind w:left="0" w:right="0"/>
              <w:rPr>
                <w:rFonts w:ascii="宋体" w:hAnsi="宋体" w:eastAsia="宋体" w:cs="宋体"/>
                <w:sz w:val="21"/>
              </w:rPr>
            </w:pPr>
            <w:r>
              <w:fldChar w:fldCharType="begin"/>
            </w:r>
            <w:r>
              <w:instrText xml:space="preserve"> HYPERLINK "https://www.chemsrc.com/baike/1188536.html" \t "https://www.chemsrc.com/searchResult/%25E7%2594%25B2%25E7%2583%25B7/_blank" </w:instrText>
            </w:r>
            <w:r>
              <w:fldChar w:fldCharType="separate"/>
            </w:r>
            <w:r>
              <w:rPr>
                <w:rFonts w:hint="eastAsia" w:ascii="宋体" w:hAnsi="宋体" w:eastAsia="宋体" w:cs="宋体"/>
                <w:sz w:val="21"/>
              </w:rPr>
              <w:t>64365-11-3</w:t>
            </w:r>
            <w:r>
              <w:rPr>
                <w:rFonts w:hint="eastAsia" w:ascii="宋体" w:hAnsi="宋体" w:eastAsia="宋体" w:cs="宋体"/>
                <w:sz w:val="21"/>
              </w:rPr>
              <w:fldChar w:fldCharType="end"/>
            </w:r>
          </w:p>
        </w:tc>
        <w:tc>
          <w:tcPr>
            <w:tcW w:w="1020" w:type="dxa"/>
            <w:vAlign w:val="center"/>
          </w:tcPr>
          <w:p>
            <w:pPr>
              <w:pStyle w:val="21"/>
              <w:spacing w:before="0"/>
              <w:ind w:left="0" w:right="0"/>
              <w:rPr>
                <w:rFonts w:ascii="宋体" w:hAnsi="宋体" w:eastAsia="宋体" w:cs="宋体"/>
                <w:sz w:val="21"/>
              </w:rPr>
            </w:pPr>
            <w:r>
              <w:rPr>
                <w:rFonts w:hint="eastAsia" w:ascii="宋体" w:hAnsi="宋体" w:eastAsia="宋体" w:cs="宋体"/>
                <w:sz w:val="21"/>
              </w:rPr>
              <w:t>烯烃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18" w:type="dxa"/>
            <w:vAlign w:val="center"/>
          </w:tcPr>
          <w:p>
            <w:pPr>
              <w:pStyle w:val="21"/>
              <w:ind w:left="6" w:right="0"/>
              <w:rPr>
                <w:rFonts w:ascii="宋体" w:hAnsi="宋体" w:eastAsia="宋体" w:cs="宋体"/>
                <w:sz w:val="21"/>
              </w:rPr>
            </w:pPr>
            <w:r>
              <w:rPr>
                <w:rFonts w:hint="eastAsia" w:ascii="宋体" w:hAnsi="宋体" w:eastAsia="宋体" w:cs="宋体"/>
                <w:sz w:val="21"/>
              </w:rPr>
              <w:t>2</w:t>
            </w:r>
          </w:p>
        </w:tc>
        <w:tc>
          <w:tcPr>
            <w:tcW w:w="2463" w:type="dxa"/>
            <w:vAlign w:val="center"/>
          </w:tcPr>
          <w:p>
            <w:pPr>
              <w:pStyle w:val="21"/>
              <w:spacing w:before="22"/>
              <w:ind w:left="379" w:right="371"/>
              <w:rPr>
                <w:rFonts w:ascii="宋体" w:hAnsi="宋体" w:eastAsia="宋体" w:cs="宋体"/>
                <w:sz w:val="21"/>
                <w:lang w:eastAsia="zh-CN"/>
              </w:rPr>
            </w:pPr>
            <w:r>
              <w:rPr>
                <w:rFonts w:hint="eastAsia" w:ascii="宋体" w:hAnsi="宋体" w:eastAsia="宋体" w:cs="宋体"/>
                <w:sz w:val="21"/>
                <w:lang w:eastAsia="zh-CN"/>
              </w:rPr>
              <w:t>非甲烷总烃</w:t>
            </w:r>
          </w:p>
        </w:tc>
        <w:tc>
          <w:tcPr>
            <w:tcW w:w="2859" w:type="dxa"/>
            <w:vAlign w:val="center"/>
          </w:tcPr>
          <w:p>
            <w:pPr>
              <w:pStyle w:val="21"/>
              <w:spacing w:before="0"/>
              <w:ind w:left="0" w:right="0"/>
              <w:rPr>
                <w:rFonts w:ascii="宋体" w:hAnsi="宋体" w:eastAsia="宋体" w:cs="宋体"/>
                <w:sz w:val="21"/>
              </w:rPr>
            </w:pPr>
            <w:r>
              <w:rPr>
                <w:rFonts w:hint="eastAsia" w:ascii="宋体" w:hAnsi="宋体" w:eastAsia="宋体" w:cs="宋体"/>
                <w:sz w:val="21"/>
                <w:lang w:eastAsia="zh-CN"/>
              </w:rPr>
              <w:t>N</w:t>
            </w:r>
            <w:r>
              <w:rPr>
                <w:rFonts w:hint="eastAsia" w:ascii="宋体" w:hAnsi="宋体" w:eastAsia="宋体" w:cs="宋体"/>
                <w:sz w:val="21"/>
              </w:rPr>
              <w:t xml:space="preserve">on-methane </w:t>
            </w:r>
            <w:r>
              <w:rPr>
                <w:rFonts w:hint="eastAsia" w:ascii="宋体" w:hAnsi="宋体" w:eastAsia="宋体" w:cs="宋体"/>
                <w:sz w:val="21"/>
                <w:lang w:eastAsia="zh-CN"/>
              </w:rPr>
              <w:t>H</w:t>
            </w:r>
            <w:r>
              <w:rPr>
                <w:rFonts w:hint="eastAsia" w:ascii="宋体" w:hAnsi="宋体" w:eastAsia="宋体" w:cs="宋体"/>
                <w:sz w:val="21"/>
              </w:rPr>
              <w:t>ydrocarbon</w:t>
            </w:r>
          </w:p>
        </w:tc>
        <w:tc>
          <w:tcPr>
            <w:tcW w:w="1465" w:type="dxa"/>
            <w:vAlign w:val="center"/>
          </w:tcPr>
          <w:p>
            <w:pPr>
              <w:pStyle w:val="21"/>
              <w:spacing w:before="0"/>
              <w:ind w:left="0" w:right="0"/>
              <w:rPr>
                <w:rFonts w:ascii="宋体" w:hAnsi="宋体" w:eastAsia="宋体" w:cs="宋体"/>
                <w:sz w:val="21"/>
                <w:lang w:eastAsia="zh-CN"/>
              </w:rPr>
            </w:pPr>
            <w:r>
              <w:rPr>
                <w:rFonts w:hint="eastAsia" w:ascii="宋体" w:hAnsi="宋体" w:eastAsia="宋体" w:cs="宋体"/>
                <w:sz w:val="21"/>
                <w:lang w:eastAsia="zh-CN"/>
              </w:rPr>
              <w:t>/</w:t>
            </w:r>
          </w:p>
        </w:tc>
        <w:tc>
          <w:tcPr>
            <w:tcW w:w="1020" w:type="dxa"/>
            <w:vAlign w:val="center"/>
          </w:tcPr>
          <w:p>
            <w:pPr>
              <w:pStyle w:val="21"/>
              <w:spacing w:before="0"/>
              <w:ind w:left="0" w:right="0"/>
              <w:rPr>
                <w:rFonts w:ascii="宋体" w:hAnsi="宋体" w:eastAsia="宋体" w:cs="宋体"/>
                <w:sz w:val="21"/>
                <w:lang w:eastAsia="zh-CN"/>
              </w:rPr>
            </w:pPr>
            <w:r>
              <w:rPr>
                <w:rFonts w:hint="eastAsia" w:ascii="宋体" w:hAnsi="宋体" w:eastAsia="宋体" w:cs="宋体"/>
                <w:sz w:val="21"/>
              </w:rPr>
              <w:t>烃</w:t>
            </w:r>
            <w:r>
              <w:rPr>
                <w:rFonts w:hint="eastAsia" w:ascii="宋体" w:hAnsi="宋体" w:eastAsia="宋体" w:cs="宋体"/>
                <w:sz w:val="21"/>
                <w:lang w:eastAsia="zh-CN"/>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718" w:type="dxa"/>
            <w:vAlign w:val="center"/>
          </w:tcPr>
          <w:p>
            <w:pPr>
              <w:pStyle w:val="21"/>
              <w:spacing w:before="36"/>
              <w:ind w:left="6" w:right="0"/>
              <w:rPr>
                <w:rFonts w:ascii="宋体" w:hAnsi="宋体" w:eastAsia="宋体" w:cs="宋体"/>
                <w:sz w:val="21"/>
              </w:rPr>
            </w:pPr>
            <w:r>
              <w:rPr>
                <w:rFonts w:hint="eastAsia" w:ascii="宋体" w:hAnsi="宋体" w:eastAsia="宋体" w:cs="宋体"/>
                <w:sz w:val="21"/>
              </w:rPr>
              <w:t>3</w:t>
            </w:r>
          </w:p>
        </w:tc>
        <w:tc>
          <w:tcPr>
            <w:tcW w:w="2463" w:type="dxa"/>
            <w:vAlign w:val="center"/>
          </w:tcPr>
          <w:p>
            <w:pPr>
              <w:pStyle w:val="21"/>
              <w:spacing w:before="25"/>
              <w:ind w:left="379" w:right="371"/>
              <w:rPr>
                <w:rFonts w:ascii="宋体" w:hAnsi="宋体" w:eastAsia="宋体" w:cs="宋体"/>
                <w:sz w:val="21"/>
                <w:lang w:eastAsia="zh-CN"/>
              </w:rPr>
            </w:pPr>
            <w:r>
              <w:rPr>
                <w:rFonts w:hint="eastAsia" w:ascii="宋体" w:hAnsi="宋体" w:eastAsia="宋体" w:cs="宋体"/>
                <w:sz w:val="21"/>
                <w:lang w:eastAsia="zh-CN"/>
              </w:rPr>
              <w:t>总烃</w:t>
            </w:r>
          </w:p>
        </w:tc>
        <w:tc>
          <w:tcPr>
            <w:tcW w:w="2859" w:type="dxa"/>
            <w:vAlign w:val="center"/>
          </w:tcPr>
          <w:p>
            <w:pPr>
              <w:pStyle w:val="21"/>
              <w:spacing w:before="0"/>
              <w:ind w:left="0" w:right="0"/>
              <w:rPr>
                <w:rFonts w:ascii="宋体" w:hAnsi="宋体" w:eastAsia="宋体" w:cs="宋体"/>
                <w:sz w:val="21"/>
              </w:rPr>
            </w:pPr>
            <w:r>
              <w:rPr>
                <w:rFonts w:hint="eastAsia" w:ascii="宋体" w:hAnsi="宋体" w:eastAsia="宋体" w:cs="宋体"/>
                <w:sz w:val="21"/>
                <w:lang w:eastAsia="zh-CN"/>
              </w:rPr>
              <w:t>Total Hydrocarbons</w:t>
            </w:r>
          </w:p>
        </w:tc>
        <w:tc>
          <w:tcPr>
            <w:tcW w:w="1465" w:type="dxa"/>
            <w:vAlign w:val="center"/>
          </w:tcPr>
          <w:p>
            <w:pPr>
              <w:pStyle w:val="21"/>
              <w:spacing w:before="0"/>
              <w:ind w:left="0" w:right="0"/>
              <w:rPr>
                <w:rFonts w:ascii="宋体" w:hAnsi="宋体" w:eastAsia="宋体" w:cs="宋体"/>
                <w:sz w:val="21"/>
                <w:lang w:eastAsia="zh-CN"/>
              </w:rPr>
            </w:pPr>
            <w:r>
              <w:rPr>
                <w:rFonts w:hint="eastAsia" w:ascii="宋体" w:hAnsi="宋体" w:eastAsia="宋体" w:cs="宋体"/>
                <w:sz w:val="21"/>
                <w:lang w:eastAsia="zh-CN"/>
              </w:rPr>
              <w:t>/</w:t>
            </w:r>
          </w:p>
        </w:tc>
        <w:tc>
          <w:tcPr>
            <w:tcW w:w="1020" w:type="dxa"/>
            <w:vAlign w:val="center"/>
          </w:tcPr>
          <w:p>
            <w:pPr>
              <w:pStyle w:val="21"/>
              <w:spacing w:before="0"/>
              <w:ind w:left="0" w:right="0"/>
              <w:rPr>
                <w:rFonts w:ascii="宋体" w:hAnsi="宋体" w:eastAsia="宋体" w:cs="宋体"/>
                <w:sz w:val="21"/>
                <w:lang w:eastAsia="zh-CN"/>
              </w:rPr>
            </w:pPr>
            <w:r>
              <w:rPr>
                <w:rFonts w:hint="eastAsia" w:ascii="宋体" w:hAnsi="宋体" w:eastAsia="宋体" w:cs="宋体"/>
                <w:sz w:val="21"/>
              </w:rPr>
              <w:t>烃</w:t>
            </w:r>
            <w:r>
              <w:rPr>
                <w:rFonts w:hint="eastAsia" w:ascii="宋体" w:hAnsi="宋体" w:eastAsia="宋体" w:cs="宋体"/>
                <w:sz w:val="21"/>
                <w:lang w:eastAsia="zh-CN"/>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18" w:type="dxa"/>
            <w:vAlign w:val="center"/>
          </w:tcPr>
          <w:p>
            <w:pPr>
              <w:pStyle w:val="21"/>
              <w:ind w:left="6" w:right="0"/>
              <w:rPr>
                <w:rFonts w:ascii="宋体" w:hAnsi="宋体" w:eastAsia="宋体" w:cs="宋体"/>
                <w:sz w:val="21"/>
              </w:rPr>
            </w:pPr>
            <w:r>
              <w:rPr>
                <w:rFonts w:hint="eastAsia" w:ascii="宋体" w:hAnsi="宋体" w:eastAsia="宋体" w:cs="宋体"/>
                <w:sz w:val="21"/>
              </w:rPr>
              <w:t>4</w:t>
            </w:r>
          </w:p>
        </w:tc>
        <w:tc>
          <w:tcPr>
            <w:tcW w:w="2463" w:type="dxa"/>
            <w:vAlign w:val="center"/>
          </w:tcPr>
          <w:p>
            <w:pPr>
              <w:pStyle w:val="21"/>
              <w:spacing w:before="22"/>
              <w:ind w:left="379" w:right="371"/>
              <w:rPr>
                <w:rFonts w:ascii="宋体" w:hAnsi="宋体" w:eastAsia="宋体" w:cs="宋体"/>
                <w:sz w:val="21"/>
                <w:lang w:eastAsia="zh-CN"/>
              </w:rPr>
            </w:pPr>
            <w:r>
              <w:rPr>
                <w:rFonts w:hint="eastAsia" w:ascii="宋体" w:hAnsi="宋体" w:eastAsia="宋体" w:cs="宋体"/>
                <w:sz w:val="21"/>
                <w:lang w:eastAsia="zh-CN"/>
              </w:rPr>
              <w:t>苯</w:t>
            </w:r>
          </w:p>
        </w:tc>
        <w:tc>
          <w:tcPr>
            <w:tcW w:w="2859" w:type="dxa"/>
            <w:vAlign w:val="center"/>
          </w:tcPr>
          <w:p>
            <w:pPr>
              <w:pStyle w:val="21"/>
              <w:spacing w:before="0"/>
              <w:ind w:left="0" w:right="0"/>
              <w:rPr>
                <w:rFonts w:ascii="宋体" w:hAnsi="宋体" w:eastAsia="宋体" w:cs="宋体"/>
                <w:sz w:val="21"/>
              </w:rPr>
            </w:pPr>
            <w:r>
              <w:rPr>
                <w:rFonts w:hint="eastAsia" w:ascii="宋体" w:hAnsi="宋体" w:eastAsia="宋体" w:cs="宋体"/>
                <w:sz w:val="21"/>
              </w:rPr>
              <w:t>Benzene</w:t>
            </w:r>
          </w:p>
        </w:tc>
        <w:tc>
          <w:tcPr>
            <w:tcW w:w="1465" w:type="dxa"/>
            <w:vAlign w:val="center"/>
          </w:tcPr>
          <w:p>
            <w:pPr>
              <w:pStyle w:val="21"/>
              <w:spacing w:before="0"/>
              <w:ind w:left="0" w:right="0"/>
              <w:rPr>
                <w:rFonts w:ascii="宋体" w:hAnsi="宋体" w:eastAsia="宋体" w:cs="宋体"/>
                <w:sz w:val="21"/>
              </w:rPr>
            </w:pPr>
            <w:r>
              <w:fldChar w:fldCharType="begin"/>
            </w:r>
            <w:r>
              <w:instrText xml:space="preserve"> HYPERLINK "https://www.chemsrc.com/baike/401479.html" \t "https://www.chemsrc.com/searchResult/%25E8%258B%25AF/_blank" </w:instrText>
            </w:r>
            <w:r>
              <w:fldChar w:fldCharType="separate"/>
            </w:r>
            <w:r>
              <w:rPr>
                <w:rFonts w:hint="eastAsia" w:ascii="宋体" w:hAnsi="宋体" w:eastAsia="宋体" w:cs="宋体"/>
                <w:sz w:val="21"/>
              </w:rPr>
              <w:t>71-43-2</w:t>
            </w:r>
            <w:r>
              <w:rPr>
                <w:rFonts w:hint="eastAsia" w:ascii="宋体" w:hAnsi="宋体" w:eastAsia="宋体" w:cs="宋体"/>
                <w:sz w:val="21"/>
              </w:rPr>
              <w:fldChar w:fldCharType="end"/>
            </w:r>
          </w:p>
        </w:tc>
        <w:tc>
          <w:tcPr>
            <w:tcW w:w="1020" w:type="dxa"/>
            <w:vAlign w:val="center"/>
          </w:tcPr>
          <w:p>
            <w:pPr>
              <w:pStyle w:val="21"/>
              <w:spacing w:before="0"/>
              <w:ind w:left="0" w:right="0"/>
              <w:rPr>
                <w:rFonts w:ascii="宋体" w:hAnsi="宋体" w:eastAsia="宋体" w:cs="宋体"/>
                <w:sz w:val="21"/>
              </w:rPr>
            </w:pPr>
            <w:r>
              <w:rPr>
                <w:rFonts w:hint="eastAsia" w:ascii="宋体" w:hAnsi="宋体" w:eastAsia="宋体" w:cs="宋体"/>
                <w:sz w:val="21"/>
                <w:lang w:eastAsia="zh-CN"/>
              </w:rPr>
              <w:t>芳</w:t>
            </w:r>
            <w:r>
              <w:rPr>
                <w:rFonts w:hint="eastAsia" w:ascii="宋体" w:hAnsi="宋体" w:eastAsia="宋体" w:cs="宋体"/>
                <w:sz w:val="21"/>
              </w:rPr>
              <w:t>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18" w:type="dxa"/>
            <w:vAlign w:val="center"/>
          </w:tcPr>
          <w:p>
            <w:pPr>
              <w:pStyle w:val="21"/>
              <w:ind w:left="6" w:right="0"/>
              <w:rPr>
                <w:rFonts w:ascii="宋体" w:hAnsi="宋体" w:eastAsia="宋体" w:cs="宋体"/>
                <w:sz w:val="21"/>
              </w:rPr>
            </w:pPr>
            <w:r>
              <w:rPr>
                <w:rFonts w:hint="eastAsia" w:ascii="宋体" w:hAnsi="宋体" w:eastAsia="宋体" w:cs="宋体"/>
                <w:sz w:val="21"/>
              </w:rPr>
              <w:t>5</w:t>
            </w:r>
          </w:p>
        </w:tc>
        <w:tc>
          <w:tcPr>
            <w:tcW w:w="2463" w:type="dxa"/>
            <w:vAlign w:val="center"/>
          </w:tcPr>
          <w:p>
            <w:pPr>
              <w:pStyle w:val="21"/>
              <w:spacing w:before="22"/>
              <w:ind w:left="379" w:right="371"/>
              <w:rPr>
                <w:rFonts w:ascii="宋体" w:hAnsi="宋体" w:eastAsia="宋体" w:cs="宋体"/>
                <w:sz w:val="21"/>
                <w:lang w:eastAsia="zh-CN"/>
              </w:rPr>
            </w:pPr>
            <w:r>
              <w:rPr>
                <w:rFonts w:hint="eastAsia" w:ascii="宋体" w:hAnsi="宋体" w:eastAsia="宋体" w:cs="宋体"/>
                <w:sz w:val="21"/>
                <w:lang w:eastAsia="zh-CN"/>
              </w:rPr>
              <w:t>甲苯</w:t>
            </w:r>
          </w:p>
        </w:tc>
        <w:tc>
          <w:tcPr>
            <w:tcW w:w="2859" w:type="dxa"/>
            <w:vAlign w:val="center"/>
          </w:tcPr>
          <w:p>
            <w:pPr>
              <w:pStyle w:val="21"/>
              <w:spacing w:before="0"/>
              <w:ind w:left="0" w:right="0"/>
              <w:rPr>
                <w:rFonts w:ascii="宋体" w:hAnsi="宋体" w:eastAsia="宋体" w:cs="宋体"/>
                <w:sz w:val="21"/>
              </w:rPr>
            </w:pPr>
            <w:r>
              <w:rPr>
                <w:rFonts w:hint="eastAsia" w:ascii="宋体" w:hAnsi="宋体" w:eastAsia="宋体" w:cs="宋体"/>
                <w:sz w:val="21"/>
              </w:rPr>
              <w:t>Toluene</w:t>
            </w:r>
          </w:p>
        </w:tc>
        <w:tc>
          <w:tcPr>
            <w:tcW w:w="1465" w:type="dxa"/>
            <w:vAlign w:val="center"/>
          </w:tcPr>
          <w:p>
            <w:pPr>
              <w:pStyle w:val="21"/>
              <w:spacing w:before="0"/>
              <w:ind w:left="0" w:right="0"/>
              <w:rPr>
                <w:rFonts w:ascii="宋体" w:hAnsi="宋体" w:eastAsia="宋体" w:cs="宋体"/>
                <w:sz w:val="21"/>
              </w:rPr>
            </w:pPr>
            <w:r>
              <w:fldChar w:fldCharType="begin"/>
            </w:r>
            <w:r>
              <w:instrText xml:space="preserve"> HYPERLINK "https://www.chemsrc.com/baike/832581.html" \t "https://www.chemsrc.com/searchResult/%25E7%2594%25B2%25E8%258B%25AF/_blank" </w:instrText>
            </w:r>
            <w:r>
              <w:fldChar w:fldCharType="separate"/>
            </w:r>
            <w:r>
              <w:rPr>
                <w:rFonts w:hint="eastAsia" w:ascii="宋体" w:hAnsi="宋体" w:eastAsia="宋体" w:cs="宋体"/>
                <w:sz w:val="21"/>
              </w:rPr>
              <w:t>108-88-3</w:t>
            </w:r>
            <w:r>
              <w:rPr>
                <w:rFonts w:hint="eastAsia" w:ascii="宋体" w:hAnsi="宋体" w:eastAsia="宋体" w:cs="宋体"/>
                <w:sz w:val="21"/>
              </w:rPr>
              <w:fldChar w:fldCharType="end"/>
            </w:r>
          </w:p>
        </w:tc>
        <w:tc>
          <w:tcPr>
            <w:tcW w:w="1020" w:type="dxa"/>
            <w:vAlign w:val="center"/>
          </w:tcPr>
          <w:p>
            <w:pPr>
              <w:autoSpaceDE w:val="0"/>
              <w:autoSpaceDN w:val="0"/>
              <w:jc w:val="center"/>
              <w:rPr>
                <w:rFonts w:ascii="宋体" w:hAnsi="宋体" w:cs="宋体"/>
              </w:rPr>
            </w:pPr>
            <w:r>
              <w:rPr>
                <w:rFonts w:hint="eastAsia" w:ascii="宋体" w:hAnsi="宋体" w:cs="宋体"/>
              </w:rPr>
              <w:t>芳烃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18" w:type="dxa"/>
            <w:vAlign w:val="center"/>
          </w:tcPr>
          <w:p>
            <w:pPr>
              <w:pStyle w:val="21"/>
              <w:ind w:left="6" w:right="0"/>
              <w:rPr>
                <w:rFonts w:ascii="宋体" w:hAnsi="宋体" w:eastAsia="宋体" w:cs="宋体"/>
                <w:sz w:val="21"/>
              </w:rPr>
            </w:pPr>
            <w:r>
              <w:rPr>
                <w:rFonts w:hint="eastAsia" w:ascii="宋体" w:hAnsi="宋体" w:eastAsia="宋体" w:cs="宋体"/>
                <w:sz w:val="21"/>
              </w:rPr>
              <w:t>6</w:t>
            </w:r>
          </w:p>
        </w:tc>
        <w:tc>
          <w:tcPr>
            <w:tcW w:w="2463" w:type="dxa"/>
            <w:vAlign w:val="center"/>
          </w:tcPr>
          <w:p>
            <w:pPr>
              <w:pStyle w:val="21"/>
              <w:spacing w:before="22"/>
              <w:ind w:left="379" w:right="371"/>
              <w:rPr>
                <w:rFonts w:ascii="宋体" w:hAnsi="宋体" w:eastAsia="宋体" w:cs="宋体"/>
                <w:sz w:val="21"/>
                <w:lang w:eastAsia="zh-CN"/>
              </w:rPr>
            </w:pPr>
            <w:r>
              <w:rPr>
                <w:rFonts w:hint="eastAsia" w:ascii="宋体" w:hAnsi="宋体" w:eastAsia="宋体" w:cs="宋体"/>
                <w:sz w:val="21"/>
                <w:lang w:eastAsia="zh-CN"/>
              </w:rPr>
              <w:t>乙苯</w:t>
            </w:r>
          </w:p>
        </w:tc>
        <w:tc>
          <w:tcPr>
            <w:tcW w:w="2859" w:type="dxa"/>
            <w:vAlign w:val="center"/>
          </w:tcPr>
          <w:p>
            <w:pPr>
              <w:pStyle w:val="21"/>
              <w:spacing w:before="0"/>
              <w:ind w:left="0" w:right="0"/>
              <w:rPr>
                <w:rFonts w:ascii="宋体" w:hAnsi="宋体" w:eastAsia="宋体" w:cs="宋体"/>
                <w:sz w:val="21"/>
              </w:rPr>
            </w:pPr>
            <w:r>
              <w:rPr>
                <w:rFonts w:hint="eastAsia" w:ascii="宋体" w:hAnsi="宋体" w:eastAsia="宋体" w:cs="宋体"/>
                <w:sz w:val="21"/>
              </w:rPr>
              <w:t>Ethylbenzene</w:t>
            </w:r>
          </w:p>
        </w:tc>
        <w:tc>
          <w:tcPr>
            <w:tcW w:w="1465" w:type="dxa"/>
            <w:vAlign w:val="center"/>
          </w:tcPr>
          <w:p>
            <w:pPr>
              <w:pStyle w:val="21"/>
              <w:spacing w:before="0"/>
              <w:ind w:left="0" w:right="0"/>
              <w:rPr>
                <w:rFonts w:ascii="宋体" w:hAnsi="宋体" w:eastAsia="宋体" w:cs="宋体"/>
                <w:sz w:val="21"/>
              </w:rPr>
            </w:pPr>
            <w:r>
              <w:fldChar w:fldCharType="begin"/>
            </w:r>
            <w:r>
              <w:instrText xml:space="preserve"> HYPERLINK "https://www.chemsrc.com/baike/123239.html" \t "https://www.chemsrc.com/searchResult/%25E4%25B9%2599%25E8%258B%25AF/_blank" </w:instrText>
            </w:r>
            <w:r>
              <w:fldChar w:fldCharType="separate"/>
            </w:r>
            <w:r>
              <w:rPr>
                <w:rStyle w:val="12"/>
                <w:rFonts w:hint="eastAsia" w:ascii="宋体" w:hAnsi="宋体" w:eastAsia="宋体" w:cs="宋体"/>
                <w:color w:val="auto"/>
                <w:sz w:val="21"/>
                <w:szCs w:val="21"/>
                <w:u w:val="none"/>
                <w:shd w:val="clear" w:color="auto" w:fill="F7FBFF"/>
              </w:rPr>
              <w:t>100-41-4</w:t>
            </w:r>
            <w:r>
              <w:rPr>
                <w:rStyle w:val="12"/>
                <w:rFonts w:hint="eastAsia" w:ascii="宋体" w:hAnsi="宋体" w:eastAsia="宋体" w:cs="宋体"/>
                <w:color w:val="auto"/>
                <w:sz w:val="21"/>
                <w:szCs w:val="21"/>
                <w:u w:val="none"/>
                <w:shd w:val="clear" w:color="auto" w:fill="F7FBFF"/>
              </w:rPr>
              <w:fldChar w:fldCharType="end"/>
            </w:r>
          </w:p>
        </w:tc>
        <w:tc>
          <w:tcPr>
            <w:tcW w:w="1020" w:type="dxa"/>
            <w:vAlign w:val="center"/>
          </w:tcPr>
          <w:p>
            <w:pPr>
              <w:autoSpaceDE w:val="0"/>
              <w:autoSpaceDN w:val="0"/>
              <w:jc w:val="center"/>
              <w:rPr>
                <w:rFonts w:ascii="宋体" w:hAnsi="宋体" w:cs="宋体"/>
              </w:rPr>
            </w:pPr>
            <w:r>
              <w:rPr>
                <w:rFonts w:hint="eastAsia" w:ascii="宋体" w:hAnsi="宋体" w:cs="宋体"/>
              </w:rPr>
              <w:t>芳烃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18" w:type="dxa"/>
            <w:vAlign w:val="center"/>
          </w:tcPr>
          <w:p>
            <w:pPr>
              <w:pStyle w:val="21"/>
              <w:ind w:left="6" w:right="0"/>
              <w:rPr>
                <w:rFonts w:ascii="宋体" w:hAnsi="宋体" w:eastAsia="宋体" w:cs="宋体"/>
                <w:sz w:val="21"/>
              </w:rPr>
            </w:pPr>
            <w:r>
              <w:rPr>
                <w:rFonts w:hint="eastAsia" w:ascii="宋体" w:hAnsi="宋体" w:eastAsia="宋体" w:cs="宋体"/>
                <w:sz w:val="21"/>
              </w:rPr>
              <w:t>7</w:t>
            </w:r>
          </w:p>
        </w:tc>
        <w:tc>
          <w:tcPr>
            <w:tcW w:w="2463" w:type="dxa"/>
            <w:vAlign w:val="center"/>
          </w:tcPr>
          <w:p>
            <w:pPr>
              <w:pStyle w:val="21"/>
              <w:spacing w:before="22"/>
              <w:ind w:left="379" w:right="371"/>
              <w:rPr>
                <w:rFonts w:ascii="宋体" w:hAnsi="宋体" w:eastAsia="宋体" w:cs="宋体"/>
                <w:sz w:val="21"/>
                <w:lang w:eastAsia="zh-CN"/>
              </w:rPr>
            </w:pPr>
            <w:r>
              <w:rPr>
                <w:rFonts w:hint="eastAsia" w:ascii="宋体" w:hAnsi="宋体" w:eastAsia="宋体" w:cs="宋体"/>
                <w:sz w:val="21"/>
                <w:lang w:eastAsia="zh-CN"/>
              </w:rPr>
              <w:t>间二甲苯</w:t>
            </w:r>
          </w:p>
        </w:tc>
        <w:tc>
          <w:tcPr>
            <w:tcW w:w="2859" w:type="dxa"/>
            <w:vAlign w:val="center"/>
          </w:tcPr>
          <w:p>
            <w:pPr>
              <w:pStyle w:val="21"/>
              <w:spacing w:before="0"/>
              <w:ind w:left="0" w:right="0"/>
              <w:rPr>
                <w:rFonts w:ascii="宋体" w:hAnsi="宋体" w:eastAsia="宋体" w:cs="宋体"/>
                <w:sz w:val="21"/>
              </w:rPr>
            </w:pPr>
            <w:r>
              <w:rPr>
                <w:rFonts w:hint="eastAsia" w:ascii="宋体" w:hAnsi="宋体" w:eastAsia="宋体" w:cs="宋体"/>
                <w:sz w:val="21"/>
              </w:rPr>
              <w:t>m-Xylene</w:t>
            </w:r>
          </w:p>
        </w:tc>
        <w:tc>
          <w:tcPr>
            <w:tcW w:w="1465" w:type="dxa"/>
            <w:vAlign w:val="center"/>
          </w:tcPr>
          <w:p>
            <w:pPr>
              <w:pStyle w:val="21"/>
              <w:spacing w:before="0"/>
              <w:ind w:left="0" w:right="0"/>
              <w:rPr>
                <w:rFonts w:ascii="宋体" w:hAnsi="宋体" w:eastAsia="宋体" w:cs="宋体"/>
                <w:sz w:val="21"/>
              </w:rPr>
            </w:pPr>
            <w:r>
              <w:fldChar w:fldCharType="begin"/>
            </w:r>
            <w:r>
              <w:instrText xml:space="preserve"> HYPERLINK "https://www.chemsrc.com/baike/311110.html" \t "https://www.chemsrc.com/searchResult/%25E9%2597%25B4%25E4%25BA%258C%25E7%2594%25B2%25E8%258B%25AF/_blank" </w:instrText>
            </w:r>
            <w:r>
              <w:fldChar w:fldCharType="separate"/>
            </w:r>
            <w:r>
              <w:rPr>
                <w:rStyle w:val="12"/>
                <w:rFonts w:hint="eastAsia" w:ascii="宋体" w:hAnsi="宋体" w:eastAsia="宋体" w:cs="宋体"/>
                <w:color w:val="auto"/>
                <w:sz w:val="21"/>
                <w:szCs w:val="21"/>
                <w:u w:val="none"/>
                <w:shd w:val="clear" w:color="auto" w:fill="F7FBFF"/>
              </w:rPr>
              <w:t>108-38-3</w:t>
            </w:r>
            <w:r>
              <w:rPr>
                <w:rStyle w:val="12"/>
                <w:rFonts w:hint="eastAsia" w:ascii="宋体" w:hAnsi="宋体" w:eastAsia="宋体" w:cs="宋体"/>
                <w:color w:val="auto"/>
                <w:sz w:val="21"/>
                <w:szCs w:val="21"/>
                <w:u w:val="none"/>
                <w:shd w:val="clear" w:color="auto" w:fill="F7FBFF"/>
              </w:rPr>
              <w:fldChar w:fldCharType="end"/>
            </w:r>
          </w:p>
        </w:tc>
        <w:tc>
          <w:tcPr>
            <w:tcW w:w="1020" w:type="dxa"/>
            <w:vAlign w:val="center"/>
          </w:tcPr>
          <w:p>
            <w:pPr>
              <w:autoSpaceDE w:val="0"/>
              <w:autoSpaceDN w:val="0"/>
              <w:jc w:val="center"/>
              <w:rPr>
                <w:rFonts w:ascii="宋体" w:hAnsi="宋体" w:cs="宋体"/>
              </w:rPr>
            </w:pPr>
            <w:r>
              <w:rPr>
                <w:rFonts w:hint="eastAsia" w:ascii="宋体" w:hAnsi="宋体" w:cs="宋体"/>
              </w:rPr>
              <w:t>芳烃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18" w:type="dxa"/>
            <w:vAlign w:val="center"/>
          </w:tcPr>
          <w:p>
            <w:pPr>
              <w:pStyle w:val="21"/>
              <w:ind w:left="6" w:right="0"/>
              <w:rPr>
                <w:rFonts w:ascii="宋体" w:hAnsi="宋体" w:eastAsia="宋体" w:cs="宋体"/>
                <w:sz w:val="21"/>
              </w:rPr>
            </w:pPr>
            <w:r>
              <w:rPr>
                <w:rFonts w:hint="eastAsia" w:ascii="宋体" w:hAnsi="宋体" w:eastAsia="宋体" w:cs="宋体"/>
                <w:sz w:val="21"/>
              </w:rPr>
              <w:t>8</w:t>
            </w:r>
          </w:p>
        </w:tc>
        <w:tc>
          <w:tcPr>
            <w:tcW w:w="2463" w:type="dxa"/>
            <w:vAlign w:val="center"/>
          </w:tcPr>
          <w:p>
            <w:pPr>
              <w:pStyle w:val="21"/>
              <w:spacing w:before="22"/>
              <w:ind w:left="379" w:right="371"/>
              <w:rPr>
                <w:rFonts w:ascii="宋体" w:hAnsi="宋体" w:eastAsia="宋体" w:cs="宋体"/>
                <w:sz w:val="21"/>
                <w:lang w:eastAsia="zh-CN"/>
              </w:rPr>
            </w:pPr>
            <w:r>
              <w:rPr>
                <w:rFonts w:hint="eastAsia" w:ascii="宋体" w:hAnsi="宋体" w:eastAsia="宋体" w:cs="宋体"/>
                <w:sz w:val="21"/>
                <w:lang w:eastAsia="zh-CN"/>
              </w:rPr>
              <w:t>对二甲苯</w:t>
            </w:r>
          </w:p>
        </w:tc>
        <w:tc>
          <w:tcPr>
            <w:tcW w:w="2859" w:type="dxa"/>
            <w:vAlign w:val="center"/>
          </w:tcPr>
          <w:p>
            <w:pPr>
              <w:pStyle w:val="21"/>
              <w:spacing w:before="0"/>
              <w:ind w:left="0" w:right="0"/>
              <w:rPr>
                <w:rFonts w:ascii="宋体" w:hAnsi="宋体" w:eastAsia="宋体" w:cs="宋体"/>
                <w:sz w:val="21"/>
              </w:rPr>
            </w:pPr>
            <w:r>
              <w:rPr>
                <w:rFonts w:hint="eastAsia" w:ascii="宋体" w:hAnsi="宋体" w:eastAsia="宋体" w:cs="宋体"/>
                <w:sz w:val="21"/>
              </w:rPr>
              <w:t>P-Xylene</w:t>
            </w:r>
          </w:p>
        </w:tc>
        <w:tc>
          <w:tcPr>
            <w:tcW w:w="1465" w:type="dxa"/>
            <w:vAlign w:val="center"/>
          </w:tcPr>
          <w:p>
            <w:pPr>
              <w:pStyle w:val="21"/>
              <w:spacing w:before="0"/>
              <w:ind w:left="0" w:right="0"/>
              <w:rPr>
                <w:rFonts w:ascii="宋体" w:hAnsi="宋体" w:eastAsia="宋体" w:cs="宋体"/>
                <w:sz w:val="21"/>
              </w:rPr>
            </w:pPr>
            <w:r>
              <w:fldChar w:fldCharType="begin"/>
            </w:r>
            <w:r>
              <w:instrText xml:space="preserve"> HYPERLINK "https://www.chemsrc.com/baike/674737.html" \t "https://www.chemsrc.com/searchResult/%25E5%25AF%25B9%25E4%25BA%258C%25E7%2594%25B2%25E8%258B%25AF/_blank" </w:instrText>
            </w:r>
            <w:r>
              <w:fldChar w:fldCharType="separate"/>
            </w:r>
            <w:r>
              <w:rPr>
                <w:rStyle w:val="12"/>
                <w:rFonts w:hint="eastAsia" w:ascii="宋体" w:hAnsi="宋体" w:eastAsia="宋体" w:cs="宋体"/>
                <w:color w:val="auto"/>
                <w:sz w:val="21"/>
                <w:szCs w:val="21"/>
                <w:u w:val="none"/>
                <w:shd w:val="clear" w:color="auto" w:fill="F7FBFF"/>
              </w:rPr>
              <w:t>106-42-3</w:t>
            </w:r>
            <w:r>
              <w:rPr>
                <w:rStyle w:val="12"/>
                <w:rFonts w:hint="eastAsia" w:ascii="宋体" w:hAnsi="宋体" w:eastAsia="宋体" w:cs="宋体"/>
                <w:color w:val="auto"/>
                <w:sz w:val="21"/>
                <w:szCs w:val="21"/>
                <w:u w:val="none"/>
                <w:shd w:val="clear" w:color="auto" w:fill="F7FBFF"/>
              </w:rPr>
              <w:fldChar w:fldCharType="end"/>
            </w:r>
          </w:p>
        </w:tc>
        <w:tc>
          <w:tcPr>
            <w:tcW w:w="1020" w:type="dxa"/>
            <w:vAlign w:val="center"/>
          </w:tcPr>
          <w:p>
            <w:pPr>
              <w:autoSpaceDE w:val="0"/>
              <w:autoSpaceDN w:val="0"/>
              <w:jc w:val="center"/>
              <w:rPr>
                <w:rFonts w:ascii="宋体" w:hAnsi="宋体" w:cs="宋体"/>
              </w:rPr>
            </w:pPr>
            <w:r>
              <w:rPr>
                <w:rFonts w:hint="eastAsia" w:ascii="宋体" w:hAnsi="宋体" w:cs="宋体"/>
              </w:rPr>
              <w:t>芳烃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718" w:type="dxa"/>
            <w:vAlign w:val="center"/>
          </w:tcPr>
          <w:p>
            <w:pPr>
              <w:pStyle w:val="21"/>
              <w:spacing w:before="36"/>
              <w:ind w:left="6" w:right="0"/>
              <w:rPr>
                <w:rFonts w:ascii="宋体" w:hAnsi="宋体" w:eastAsia="宋体" w:cs="宋体"/>
                <w:sz w:val="21"/>
              </w:rPr>
            </w:pPr>
            <w:r>
              <w:rPr>
                <w:rFonts w:hint="eastAsia" w:ascii="宋体" w:hAnsi="宋体" w:eastAsia="宋体" w:cs="宋体"/>
                <w:sz w:val="21"/>
              </w:rPr>
              <w:t>9</w:t>
            </w:r>
          </w:p>
        </w:tc>
        <w:tc>
          <w:tcPr>
            <w:tcW w:w="2463" w:type="dxa"/>
            <w:vAlign w:val="center"/>
          </w:tcPr>
          <w:p>
            <w:pPr>
              <w:pStyle w:val="21"/>
              <w:spacing w:before="25"/>
              <w:ind w:left="376" w:right="371"/>
              <w:rPr>
                <w:rFonts w:ascii="宋体" w:hAnsi="宋体" w:eastAsia="宋体" w:cs="宋体"/>
                <w:sz w:val="21"/>
                <w:lang w:eastAsia="zh-CN"/>
              </w:rPr>
            </w:pPr>
            <w:r>
              <w:rPr>
                <w:rFonts w:hint="eastAsia" w:ascii="宋体" w:hAnsi="宋体" w:eastAsia="宋体" w:cs="宋体"/>
                <w:sz w:val="21"/>
                <w:lang w:eastAsia="zh-CN"/>
              </w:rPr>
              <w:t>邻二甲苯</w:t>
            </w:r>
          </w:p>
        </w:tc>
        <w:tc>
          <w:tcPr>
            <w:tcW w:w="2859" w:type="dxa"/>
            <w:vAlign w:val="center"/>
          </w:tcPr>
          <w:p>
            <w:pPr>
              <w:pStyle w:val="21"/>
              <w:spacing w:before="0"/>
              <w:ind w:left="0" w:right="0"/>
              <w:rPr>
                <w:rFonts w:ascii="宋体" w:hAnsi="宋体" w:eastAsia="宋体" w:cs="宋体"/>
                <w:sz w:val="21"/>
              </w:rPr>
            </w:pPr>
            <w:r>
              <w:rPr>
                <w:rFonts w:hint="eastAsia" w:ascii="宋体" w:hAnsi="宋体" w:eastAsia="宋体" w:cs="宋体"/>
                <w:sz w:val="21"/>
                <w:szCs w:val="21"/>
                <w:shd w:val="clear" w:color="auto" w:fill="F7FBFF"/>
              </w:rPr>
              <w:t>o-xylene</w:t>
            </w:r>
          </w:p>
        </w:tc>
        <w:tc>
          <w:tcPr>
            <w:tcW w:w="1465" w:type="dxa"/>
            <w:vAlign w:val="center"/>
          </w:tcPr>
          <w:p>
            <w:pPr>
              <w:pStyle w:val="21"/>
              <w:spacing w:before="0"/>
              <w:ind w:left="0" w:right="0"/>
              <w:rPr>
                <w:rFonts w:ascii="宋体" w:hAnsi="宋体" w:eastAsia="宋体" w:cs="宋体"/>
                <w:sz w:val="21"/>
              </w:rPr>
            </w:pPr>
            <w:r>
              <w:fldChar w:fldCharType="begin"/>
            </w:r>
            <w:r>
              <w:instrText xml:space="preserve"> HYPERLINK "https://www.chemsrc.com/baike/166499.html" \t "https://www.chemsrc.com/searchResult/%25E9%2582%25BB%25E4%25BA%258C%25E7%2594%25B2%25E8%258B%25AF/_blank" </w:instrText>
            </w:r>
            <w:r>
              <w:fldChar w:fldCharType="separate"/>
            </w:r>
            <w:r>
              <w:rPr>
                <w:rStyle w:val="12"/>
                <w:rFonts w:hint="eastAsia" w:ascii="宋体" w:hAnsi="宋体" w:eastAsia="宋体" w:cs="宋体"/>
                <w:color w:val="auto"/>
                <w:sz w:val="21"/>
                <w:szCs w:val="21"/>
                <w:u w:val="none"/>
                <w:shd w:val="clear" w:color="auto" w:fill="F7FBFF"/>
              </w:rPr>
              <w:t>95-47-6</w:t>
            </w:r>
            <w:r>
              <w:rPr>
                <w:rStyle w:val="12"/>
                <w:rFonts w:hint="eastAsia" w:ascii="宋体" w:hAnsi="宋体" w:eastAsia="宋体" w:cs="宋体"/>
                <w:color w:val="auto"/>
                <w:sz w:val="21"/>
                <w:szCs w:val="21"/>
                <w:u w:val="none"/>
                <w:shd w:val="clear" w:color="auto" w:fill="F7FBFF"/>
              </w:rPr>
              <w:fldChar w:fldCharType="end"/>
            </w:r>
          </w:p>
        </w:tc>
        <w:tc>
          <w:tcPr>
            <w:tcW w:w="1020" w:type="dxa"/>
            <w:vAlign w:val="center"/>
          </w:tcPr>
          <w:p>
            <w:pPr>
              <w:autoSpaceDE w:val="0"/>
              <w:autoSpaceDN w:val="0"/>
              <w:jc w:val="center"/>
              <w:rPr>
                <w:rFonts w:ascii="宋体" w:hAnsi="宋体" w:cs="宋体"/>
              </w:rPr>
            </w:pPr>
            <w:r>
              <w:rPr>
                <w:rFonts w:hint="eastAsia" w:ascii="宋体" w:hAnsi="宋体" w:cs="宋体"/>
              </w:rPr>
              <w:t>芳烃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18" w:type="dxa"/>
            <w:vAlign w:val="center"/>
          </w:tcPr>
          <w:p>
            <w:pPr>
              <w:pStyle w:val="21"/>
              <w:ind w:left="126" w:right="120"/>
              <w:rPr>
                <w:rFonts w:ascii="宋体" w:hAnsi="宋体" w:eastAsia="宋体" w:cs="宋体"/>
                <w:sz w:val="21"/>
              </w:rPr>
            </w:pPr>
            <w:r>
              <w:rPr>
                <w:rFonts w:hint="eastAsia" w:ascii="宋体" w:hAnsi="宋体" w:eastAsia="宋体" w:cs="宋体"/>
                <w:sz w:val="21"/>
              </w:rPr>
              <w:t>10</w:t>
            </w:r>
          </w:p>
        </w:tc>
        <w:tc>
          <w:tcPr>
            <w:tcW w:w="2463" w:type="dxa"/>
            <w:vAlign w:val="center"/>
          </w:tcPr>
          <w:p>
            <w:pPr>
              <w:pStyle w:val="21"/>
              <w:spacing w:before="22"/>
              <w:ind w:left="376" w:right="371"/>
              <w:rPr>
                <w:rFonts w:ascii="宋体" w:hAnsi="宋体" w:eastAsia="宋体" w:cs="宋体"/>
                <w:sz w:val="21"/>
                <w:lang w:eastAsia="zh-CN"/>
              </w:rPr>
            </w:pPr>
            <w:r>
              <w:rPr>
                <w:rFonts w:hint="eastAsia" w:ascii="宋体" w:hAnsi="宋体" w:eastAsia="宋体" w:cs="宋体"/>
                <w:sz w:val="21"/>
                <w:lang w:eastAsia="zh-CN"/>
              </w:rPr>
              <w:t>苯乙烯</w:t>
            </w:r>
          </w:p>
        </w:tc>
        <w:tc>
          <w:tcPr>
            <w:tcW w:w="2859" w:type="dxa"/>
            <w:vAlign w:val="center"/>
          </w:tcPr>
          <w:p>
            <w:pPr>
              <w:pStyle w:val="21"/>
              <w:spacing w:before="0"/>
              <w:ind w:left="0" w:right="0"/>
              <w:rPr>
                <w:rFonts w:ascii="宋体" w:hAnsi="宋体" w:eastAsia="宋体" w:cs="宋体"/>
                <w:sz w:val="21"/>
              </w:rPr>
            </w:pPr>
            <w:r>
              <w:rPr>
                <w:rFonts w:hint="eastAsia" w:ascii="宋体" w:hAnsi="宋体" w:eastAsia="宋体" w:cs="宋体"/>
                <w:sz w:val="21"/>
              </w:rPr>
              <w:t>Styrene</w:t>
            </w:r>
          </w:p>
        </w:tc>
        <w:tc>
          <w:tcPr>
            <w:tcW w:w="1465" w:type="dxa"/>
            <w:vAlign w:val="center"/>
          </w:tcPr>
          <w:p>
            <w:pPr>
              <w:pStyle w:val="21"/>
              <w:spacing w:before="0"/>
              <w:ind w:left="0" w:right="0"/>
              <w:rPr>
                <w:rFonts w:ascii="宋体" w:hAnsi="宋体" w:eastAsia="宋体" w:cs="宋体"/>
                <w:sz w:val="21"/>
              </w:rPr>
            </w:pPr>
            <w:r>
              <w:fldChar w:fldCharType="begin"/>
            </w:r>
            <w:r>
              <w:instrText xml:space="preserve"> HYPERLINK "https://www.chemsrc.com/baike/28937.html" \t "https://www.chemsrc.com/searchResult/%25E8%258B%25AF%25E4%25B9%2599%25E7%2583%25AF/_blank" </w:instrText>
            </w:r>
            <w:r>
              <w:fldChar w:fldCharType="separate"/>
            </w:r>
            <w:r>
              <w:rPr>
                <w:rStyle w:val="12"/>
                <w:rFonts w:hint="eastAsia" w:ascii="宋体" w:hAnsi="宋体" w:eastAsia="宋体" w:cs="宋体"/>
                <w:color w:val="auto"/>
                <w:sz w:val="21"/>
                <w:szCs w:val="21"/>
                <w:u w:val="none"/>
                <w:shd w:val="clear" w:color="auto" w:fill="F7FBFF"/>
              </w:rPr>
              <w:t>100-42-5</w:t>
            </w:r>
            <w:r>
              <w:rPr>
                <w:rStyle w:val="12"/>
                <w:rFonts w:hint="eastAsia" w:ascii="宋体" w:hAnsi="宋体" w:eastAsia="宋体" w:cs="宋体"/>
                <w:color w:val="auto"/>
                <w:sz w:val="21"/>
                <w:szCs w:val="21"/>
                <w:u w:val="none"/>
                <w:shd w:val="clear" w:color="auto" w:fill="F7FBFF"/>
              </w:rPr>
              <w:fldChar w:fldCharType="end"/>
            </w:r>
          </w:p>
        </w:tc>
        <w:tc>
          <w:tcPr>
            <w:tcW w:w="1020" w:type="dxa"/>
            <w:vAlign w:val="center"/>
          </w:tcPr>
          <w:p>
            <w:pPr>
              <w:autoSpaceDE w:val="0"/>
              <w:autoSpaceDN w:val="0"/>
              <w:jc w:val="center"/>
              <w:rPr>
                <w:rFonts w:ascii="宋体" w:hAnsi="宋体" w:cs="宋体"/>
              </w:rPr>
            </w:pPr>
            <w:r>
              <w:rPr>
                <w:rFonts w:hint="eastAsia" w:ascii="宋体" w:hAnsi="宋体" w:cs="宋体"/>
              </w:rPr>
              <w:t>芳烃</w:t>
            </w:r>
          </w:p>
        </w:tc>
      </w:tr>
    </w:tbl>
    <w:p>
      <w:pPr>
        <w:rPr>
          <w:rFonts w:ascii="仿宋" w:hAnsi="仿宋" w:eastAsia="仿宋" w:cs="宋体"/>
          <w:color w:val="000000"/>
          <w:kern w:val="0"/>
          <w:sz w:val="32"/>
          <w:szCs w:val="32"/>
        </w:rPr>
      </w:pP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1.3运行维护服务工作内容</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投标人须负责监测系统各组成部分的采样、分析、数据采集、数据传输、系统控制、供电和空调、站房的维护保养和维修工作(战争、地震、台风、山洪等不可抗拒因素除外)，并负责系统配件耗材的更换工作。</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投标人应负责站房及设备安全。由投标人全权负责系统所有仪器和设备的维护、维修和部件更换(包括空调设备等附属设施)，并将维修费用计算在报价中。由于自然灾害、战争等造成的设备损坏，投标人不承担维修费用。由于运维技术人员操作不当、违反规程等造成的维修费用由投标人负责。同样包括由于外部原因意外丢失和损坏设备的维修或更换。</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确保秀山站、下院站、32中站、鼓山苑小学站点VOCs设备有效、正常、稳定运行。运维过程中完成以下工作：</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(1)配备满足VOCs运行维护的技术人员(人员入驻、调离等须经业主同意、确认)、仪器、备机、备品、配件及耗材(须为原仪器设备厂家生产)库等。</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(2)按照《环境空气挥发性有机物气相色谱连续监测系统技术要求及检测方法》HJ1010-2018等监测相关的标准规范、质量体系文件、质量控制计划建立运行保障制度，制定运维应急预案、确保整个系统正常稳定运行，并提交相应的记录文件。</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(3)制定并实施运维年度工作计划，包括运维内容、运维记录、质量保证和质量控制要求，保证监测数据可追溯。</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(4)及时做好监测数据处理、质控管理，保证监测数据及时、准确。每日12点之前审核前一天0时-23时的原始数据。</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(5)负责对监测仪器、数据采集、传输及分析平台等的日常巡视，建立数据异常快速响应机制，及时发现并确认中断、异常情况和原因，及时上报，采取措施预防再次发生。</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(6)实施全委托运行维护。承担全部运行维护中所发生的费用，包括载气、标准气体(须为国家有证的标准气体，在有效期内使用，须经业主确认)、备品、配件、耗材等。</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(7)承担VOCs日常运行维护工作，包括仪器设备日常和定期的检查调校、易损件更换、耗材更换、试剂补充、管路清洗等工作，协助开展仪器的计量，严格禁止计量有效期外仪器的使用。</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(8)保证对VOCs站点仪器设备故障及时响应，2小时内做出响应，24小时内解决故障，如故障未解决，应提供备机(如无法提供备机,应提交解决方案，经业主单位同意，并限期解决)。通信和电力线路故障除外，应及时与相关部门联系解决。</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(9)运维单位须协助完成与VOCs其他相关工作,如监测数据接入、数据标识、数据审核、配合成效审核、数据分析及服务中标方的工作等。</w:t>
      </w:r>
    </w:p>
    <w:p>
      <w:pPr>
        <w:rPr>
          <w:rFonts w:ascii="仿宋" w:hAnsi="仿宋" w:eastAsia="仿宋" w:cs="宋体"/>
          <w:b/>
          <w:color w:val="000000"/>
          <w:kern w:val="0"/>
          <w:sz w:val="32"/>
          <w:szCs w:val="32"/>
        </w:rPr>
      </w:pPr>
      <w:r>
        <w:rPr>
          <w:rFonts w:hint="eastAsia" w:ascii="仿宋" w:hAnsi="仿宋" w:eastAsia="仿宋" w:cs="宋体"/>
          <w:b/>
          <w:color w:val="000000"/>
          <w:kern w:val="0"/>
          <w:sz w:val="32"/>
          <w:szCs w:val="32"/>
        </w:rPr>
        <w:t>2</w:t>
      </w:r>
      <w:r>
        <w:rPr>
          <w:rFonts w:hint="eastAsia" w:ascii="仿宋" w:hAnsi="仿宋" w:eastAsia="仿宋" w:cs="宋体"/>
          <w:b/>
          <w:color w:val="000000"/>
          <w:kern w:val="0"/>
          <w:sz w:val="32"/>
          <w:szCs w:val="32"/>
        </w:rPr>
        <w:tab/>
      </w:r>
      <w:r>
        <w:rPr>
          <w:rFonts w:hint="eastAsia" w:ascii="仿宋" w:hAnsi="仿宋" w:eastAsia="仿宋" w:cs="宋体"/>
          <w:b/>
          <w:color w:val="000000"/>
          <w:kern w:val="0"/>
          <w:sz w:val="32"/>
          <w:szCs w:val="32"/>
        </w:rPr>
        <w:t>具体要求</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2.1</w:t>
      </w:r>
      <w:r>
        <w:rPr>
          <w:rFonts w:hint="eastAsia" w:ascii="仿宋" w:hAnsi="仿宋" w:eastAsia="仿宋" w:cs="宋体"/>
          <w:color w:val="000000"/>
          <w:kern w:val="0"/>
          <w:sz w:val="32"/>
          <w:szCs w:val="32"/>
        </w:rPr>
        <w:tab/>
      </w:r>
      <w:r>
        <w:rPr>
          <w:rFonts w:hint="eastAsia" w:ascii="仿宋" w:hAnsi="仿宋" w:eastAsia="仿宋" w:cs="宋体"/>
          <w:color w:val="000000"/>
          <w:kern w:val="0"/>
          <w:sz w:val="32"/>
          <w:szCs w:val="32"/>
        </w:rPr>
        <w:t>数据日常查看审核</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(1)VOCs分析仪应每日两次检查仪器状态，峰窗积分情况，每日一次检查内标与外标情况。登陆数据平台查看数据采集、传输及仪器运行状态，必要时进行远程诊断和运行管理，发现问题及时上报并处理。</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(2)每日12点之前审核前一天0时-23时的原始数据。</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2.2</w:t>
      </w:r>
      <w:r>
        <w:rPr>
          <w:rFonts w:hint="eastAsia" w:ascii="仿宋" w:hAnsi="仿宋" w:eastAsia="仿宋" w:cs="宋体"/>
          <w:color w:val="000000"/>
          <w:kern w:val="0"/>
          <w:sz w:val="32"/>
          <w:szCs w:val="32"/>
        </w:rPr>
        <w:tab/>
      </w:r>
      <w:r>
        <w:rPr>
          <w:rFonts w:hint="eastAsia" w:ascii="仿宋" w:hAnsi="仿宋" w:eastAsia="仿宋" w:cs="宋体"/>
          <w:color w:val="000000"/>
          <w:kern w:val="0"/>
          <w:sz w:val="32"/>
          <w:szCs w:val="32"/>
        </w:rPr>
        <w:t>站房及辅助设备日常巡检</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(1)站房及辅助设备日常巡检应满足HJ818-2018、HJ1010-2018等相关要求。对站房及辅助设备定期巡检，每周至少巡检1次，巡检工作主要包括：</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(2)检查站房内温度是否保持在25℃±5℃，相对湿度保持在80%以下，应注意站房内外温差，应及时调整站房温度，对采样管或采样总管采取适当的温控措施，防止因温差过大造成采样装置出现冷凝水的现象。</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(3)检查采样总管、排风排气装置运行是否正常。</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(4)检查采样头、采样管、采样总管的完好性，采样支管是否存在冷凝水，及时进行清理。</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(5)检查监测仪器工作参数和运行状态是否正常。</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(6)检查数据采集、传输与网络通讯是否正常。</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(6)检查各种运维工具、仪器耗材、备件是否完好齐全。</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(7)检查空调、电源等辅助设备的运行状况是否正常，检查空调机的过滤网是否清洁，必要时进行清洗。</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(8)检查各种消防、安全设施是否完好齐全，是否在有效期内。</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(9)对站房周围的杂草和积水应及时清除。</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(10)检查避雷设施是否正常，房屋是否有漏雨现象。</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(11)检查监测仪器设备、采集传输工控机及平台时间是否同步。</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(12)及时清理站房内外卫生。</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(13)严格记录巡检情况。</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2.3</w:t>
      </w:r>
      <w:r>
        <w:rPr>
          <w:rFonts w:hint="eastAsia" w:ascii="仿宋" w:hAnsi="仿宋" w:eastAsia="仿宋" w:cs="宋体"/>
          <w:color w:val="000000"/>
          <w:kern w:val="0"/>
          <w:sz w:val="32"/>
          <w:szCs w:val="32"/>
        </w:rPr>
        <w:tab/>
      </w:r>
      <w:r>
        <w:rPr>
          <w:rFonts w:hint="eastAsia" w:ascii="仿宋" w:hAnsi="仿宋" w:eastAsia="仿宋" w:cs="宋体"/>
          <w:color w:val="000000"/>
          <w:kern w:val="0"/>
          <w:sz w:val="32"/>
          <w:szCs w:val="32"/>
        </w:rPr>
        <w:t>监测仪器设备日常维护</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VOCs监测仪器为VOCs在线分析系统，主要包括VOCs监测仪器以及氢气发生器、零气发生器、动态校准仪等辅助设施(如有)、外标气等。进行日常维护时，应作好记录。主要包括仪器及辅助设备运行状况、校准工作等维护项目和记录，以及仪器使用说明书中规定的其他检查项目和校准、维护、维修记录。</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日常维护主要内容如下(包括，不限于)：</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2.3.1.每日维护内容</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(1)每日检查仪器设备运行状态及数据。</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(2)检查仪器控制软件参数(包括富集温度、采样流量等)，发现异常报警时，应及时处理。</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(3)检查仪器谱图及浓度趋势，异常判断(基线、峰响应或峰飘情况)。</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(4)检查仪器参数、数据文件的完整性。</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2.3.2每周维护内容</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（1）零气空白检查（全系统空白）</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检查频率不低于每周一次，在环境空气分析结束后进行一次全系统空白检查，记录各化合物浓度作为其日常残留。各化合物日常残留应低于方法检出限且低于0.1nmol/mol（操作方法及合格标准参考4.3.1），零气空白检查不合格的化合物应对其进行标识。若超过20%的化合物或臭氧生成潜势较高的重点VOCs组分不合格，应对系统进行检查，检查零气质量或清洗、更换系统管路。</w:t>
      </w:r>
    </w:p>
    <w:p>
      <w:pPr>
        <w:rPr>
          <w:rFonts w:ascii="仿宋" w:hAnsi="仿宋" w:eastAsia="仿宋" w:cs="宋体"/>
          <w:color w:val="000000"/>
          <w:kern w:val="0"/>
          <w:sz w:val="32"/>
          <w:szCs w:val="32"/>
        </w:rPr>
      </w:pP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(2)单点质控检查</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检查频率不低于每周一次，在零气空白检查结束后通入一次单点标准气体，标准气体浓度选择日常平均浓度或标准曲线中间点浓度。分析结束后，记录各化合物浓度并计算其与标准气体的相对误差，超过20%为不合格（质谱检测器放宽至30%）。如超过20%的化合物或臭氧生成潜势较高的重点VOCs（如苯系物等）不合格，则应检查系统，并重新绘制标准曲线。所有单点检查不合格目标化合物应对其进行明确标识，提醒相关单位慎重使用。</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（3）每周检查钢瓶气压力并记录。判断压力是否下降异常，如异常，需查明原因；及时更换气瓶(一般压力低于2MPa更换，更换后需保压验漏)。</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（4）每周检查并酌情更换仪器采样滤膜(一周至两周更换)，更换滤膜后，需进行检漏检查。</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（5）检查仪器运行是否正常，查看参数是否处于正常范围，查看是否有报警信息，判断仪器是否需要更换耗材或维修，并做好记录。</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（6）检查数据上传至数据采集系统及数据平台是否正常。</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2.3.3每月质量控制内容</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不低于每月一次的检查频率，或在绘制标准曲线前应使用在计量认证有效期内的标准流量计对采样流量进行检查。标准流量计接入位置建议在系统的样品进气口处。如系统不采用流量控制器或厂家说明书、作业指导书有明确的流量或采样体积检查操作的，流量或采样体积检查按既有要求进行。采样流量示值与标准流量计示值的相对偏差应≤±5%（如采样流量为标况流量，标准流量计标况状态应与采样流量计一致；如采样流量为工况流量，标准流量计也应为工况流量）。相对偏差超出±5%时应进行检查或校准，同时对期间监测数据进行复核，不合格的数据应进行数据异常标识。</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2.3.4每季度质量控制内容</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（1）标准曲线绘制</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绘制标准曲线前，应进行零气空白检查（全系统空白），空白合格时进行标准曲线绘制。标准曲线至少每三个月重新绘制一次，并且至少包含5个浓度点。关键部位维修维护或更换，如进行检测器的清洗、质谱调谐后，需重新绘制标准曲线。</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（2）验漏检查</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每季度应按系统说明书的要求进行验漏检查。如系统条件允许，验漏应尽可能覆盖采样、富集/注射模块、气相色谱和检测器等全部环节。</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(3）每季度对动态校准仪进行流量检查。对动态校准仪的质量流量控制器，进行1次单点检查，相对标准偏差需≤±3%，否则进行校准(应使用经过计量院检定的标准流量计)。</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2.3.5每半年质量控制内容</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(1)每半年开展系统残留检查。通入10ppb标准气体后，采集1个循环的零气后，每个目标化合物的响应需小于0.5ppb。</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(2)每半年开展精密度检查。每个目标化合物的相对标准偏差需小10%(2ppb)。</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(3)每半年对零气发生器外置泵进行检查。检查膜片是否有裂痕、污迹，并酌情更换。</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(4)每半年对动态校准仪进行校准。对动态校准仪的质量流量控制器，每半年进行1次流量多点校准，校准曲线应符合以下要求：</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①相关系数r&gt;0.999；</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②截距a&lt;满量程±2%；</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③多点标准偏差σ≤1(即流量多点校准时各流量偏差的标准偏差)；</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若其中任何一项不满足，则需对流量重新进行校准。</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2.3.6每年质量控制内容</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每年对系统、辅助设备、校准或配气设备等开展预防性维护，对关键零部件进行拆卸清洁和保养，必要时进行更换。预防性维护后系统应进行全面质控检查。</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2.3.7其他</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(1)每次巡检、维护后，及时填写相应的记录表格。</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(2)每次维护后，及时检查数据采集软件运行及集成平台情况，并开启采集软件。</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(3)每次在更换色谱柱、改变分析条件、切换或更换灯丝、清洗离子源等均要重新进行质谱调谐，并对仪器进行多点线性校准。</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(4)重大赛事活动等保障以及应急任务，设备不得无故停机，须无条件服从业主的调度安排。</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(5)运维单位须配合完成各级的质控检查和样品考核，对需整改的项目按时整改。</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2.4运维单位、备品配件及维修要求</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2.4.1运维人员要求</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运维人员变更须经业主单位同意。</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2.4.2备品配件要求</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备品配件数量充足，技术指标符合相关运维要求的工具设备、质控设备、原厂备件配件和常用耗材，并根据运维更换要求，及时更换，做好相关记录，确保仪器设备正常运行、数据准确有效。</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2.4.3维修要求</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每日8时至20时出现故障，应在2小时内响应(0时至8时出现故障，应在当日9时前响应；20时至24时出现故障，应在次日9时前响应)，24小时内解决故障，如故障未解决，应提供备机(如无法提供备机,应提交解决方案，经业主单位同意，并限期解决)。通信和电力线路故障除外，但应及时与相关部门联系解决。</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2.5运维质量考核要求</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中标方出现以下行为，采购方有权终止运维合同，予以通报，情节严重者将追究相关责任。</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(1)未经采购方书面许可，公开展示、发表、使用或泄露给第三方。</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(2)运维期间出现修改、编造数据等弄虚作假行为。</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(3)连续三次出现运维问题，并拒不整改的。</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福州市晋安生态环境局每月对运维情况进行检查，采取百分制对运维情况进行考核，考核标准见运维质量考核评分表。如运维考核各项目存在弄虚作假行为，则该项分值扣为零。</w:t>
      </w:r>
    </w:p>
    <w:p>
      <w:pPr>
        <w:spacing w:line="276" w:lineRule="auto"/>
        <w:jc w:val="center"/>
        <w:rPr>
          <w:rFonts w:ascii="宋体" w:hAnsi="宋体"/>
          <w:b/>
          <w:bCs/>
          <w:sz w:val="24"/>
          <w:szCs w:val="24"/>
        </w:rPr>
      </w:pPr>
      <w:r>
        <w:rPr>
          <w:rFonts w:hint="eastAsia" w:ascii="宋体" w:hAnsi="宋体"/>
          <w:b/>
          <w:bCs/>
          <w:sz w:val="24"/>
          <w:szCs w:val="24"/>
        </w:rPr>
        <w:t>表3运维质量考核评分表</w:t>
      </w:r>
    </w:p>
    <w:p>
      <w:pPr>
        <w:spacing w:line="276" w:lineRule="auto"/>
        <w:rPr>
          <w:rFonts w:ascii="宋体" w:hAnsi="宋体"/>
          <w:sz w:val="24"/>
          <w:szCs w:val="24"/>
        </w:rPr>
      </w:pPr>
    </w:p>
    <w:tbl>
      <w:tblPr>
        <w:tblStyle w:val="9"/>
        <w:tblW w:w="8826" w:type="dxa"/>
        <w:tblInd w:w="139"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309"/>
        <w:gridCol w:w="895"/>
        <w:gridCol w:w="5233"/>
        <w:gridCol w:w="309"/>
        <w:gridCol w:w="2080"/>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12" w:hRule="atLeast"/>
        </w:trPr>
        <w:tc>
          <w:tcPr>
            <w:tcW w:w="309" w:type="dxa"/>
            <w:tcBorders>
              <w:bottom w:val="single" w:color="000000" w:sz="6" w:space="0"/>
              <w:right w:val="single" w:color="000000" w:sz="6" w:space="0"/>
            </w:tcBorders>
            <w:vAlign w:val="center"/>
          </w:tcPr>
          <w:p>
            <w:pPr>
              <w:spacing w:line="276" w:lineRule="auto"/>
              <w:rPr>
                <w:rFonts w:ascii="宋体" w:hAnsi="宋体"/>
                <w:szCs w:val="21"/>
              </w:rPr>
            </w:pPr>
            <w:r>
              <w:rPr>
                <w:rFonts w:ascii="宋体" w:hAnsi="宋体"/>
                <w:szCs w:val="21"/>
              </w:rPr>
              <w:t>序号</w:t>
            </w:r>
          </w:p>
        </w:tc>
        <w:tc>
          <w:tcPr>
            <w:tcW w:w="6128" w:type="dxa"/>
            <w:gridSpan w:val="2"/>
            <w:tcBorders>
              <w:left w:val="single" w:color="000000" w:sz="6" w:space="0"/>
              <w:bottom w:val="single" w:color="000000" w:sz="6" w:space="0"/>
              <w:right w:val="single" w:color="000000" w:sz="6" w:space="0"/>
            </w:tcBorders>
            <w:vAlign w:val="center"/>
          </w:tcPr>
          <w:p>
            <w:pPr>
              <w:spacing w:line="276" w:lineRule="auto"/>
              <w:rPr>
                <w:rFonts w:ascii="宋体" w:hAnsi="宋体"/>
                <w:szCs w:val="21"/>
              </w:rPr>
            </w:pPr>
            <w:r>
              <w:rPr>
                <w:rFonts w:ascii="宋体" w:hAnsi="宋体"/>
                <w:szCs w:val="21"/>
              </w:rPr>
              <w:t>评分内容</w:t>
            </w:r>
          </w:p>
        </w:tc>
        <w:tc>
          <w:tcPr>
            <w:tcW w:w="309" w:type="dxa"/>
            <w:tcBorders>
              <w:left w:val="single" w:color="000000" w:sz="6" w:space="0"/>
              <w:bottom w:val="single" w:color="000000" w:sz="6" w:space="0"/>
              <w:right w:val="single" w:color="000000" w:sz="6" w:space="0"/>
            </w:tcBorders>
            <w:vAlign w:val="center"/>
          </w:tcPr>
          <w:p>
            <w:pPr>
              <w:spacing w:line="276" w:lineRule="auto"/>
              <w:rPr>
                <w:rFonts w:ascii="宋体" w:hAnsi="宋体"/>
                <w:szCs w:val="21"/>
              </w:rPr>
            </w:pPr>
            <w:r>
              <w:rPr>
                <w:rFonts w:ascii="宋体" w:hAnsi="宋体"/>
                <w:szCs w:val="21"/>
              </w:rPr>
              <w:t>满分</w:t>
            </w:r>
          </w:p>
        </w:tc>
        <w:tc>
          <w:tcPr>
            <w:tcW w:w="2080" w:type="dxa"/>
            <w:tcBorders>
              <w:left w:val="single" w:color="000000" w:sz="6" w:space="0"/>
            </w:tcBorders>
            <w:vAlign w:val="center"/>
          </w:tcPr>
          <w:p>
            <w:pPr>
              <w:spacing w:line="276" w:lineRule="auto"/>
              <w:rPr>
                <w:rFonts w:ascii="宋体" w:hAnsi="宋体"/>
                <w:szCs w:val="21"/>
              </w:rPr>
            </w:pPr>
            <w:r>
              <w:rPr>
                <w:rFonts w:ascii="宋体" w:hAnsi="宋体"/>
                <w:szCs w:val="21"/>
              </w:rPr>
              <w:t>评分说明</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2827" w:hRule="atLeast"/>
        </w:trPr>
        <w:tc>
          <w:tcPr>
            <w:tcW w:w="309" w:type="dxa"/>
            <w:tcBorders>
              <w:top w:val="single" w:color="000000" w:sz="6" w:space="0"/>
              <w:right w:val="single" w:color="000000" w:sz="6" w:space="0"/>
            </w:tcBorders>
            <w:vAlign w:val="center"/>
          </w:tcPr>
          <w:p>
            <w:pPr>
              <w:spacing w:line="276" w:lineRule="auto"/>
              <w:rPr>
                <w:rFonts w:ascii="宋体" w:hAnsi="宋体"/>
                <w:szCs w:val="21"/>
              </w:rPr>
            </w:pPr>
          </w:p>
          <w:p>
            <w:pPr>
              <w:spacing w:line="276" w:lineRule="auto"/>
              <w:rPr>
                <w:rFonts w:ascii="宋体" w:hAnsi="宋体"/>
                <w:szCs w:val="21"/>
              </w:rPr>
            </w:pPr>
            <w:r>
              <w:rPr>
                <w:rFonts w:ascii="宋体" w:hAnsi="宋体"/>
                <w:szCs w:val="21"/>
              </w:rPr>
              <w:t>1</w:t>
            </w:r>
          </w:p>
        </w:tc>
        <w:tc>
          <w:tcPr>
            <w:tcW w:w="895" w:type="dxa"/>
            <w:tcBorders>
              <w:top w:val="single" w:color="000000" w:sz="6" w:space="0"/>
              <w:left w:val="single" w:color="000000" w:sz="6" w:space="0"/>
              <w:right w:val="single" w:color="000000" w:sz="6" w:space="0"/>
            </w:tcBorders>
            <w:vAlign w:val="center"/>
          </w:tcPr>
          <w:p>
            <w:pPr>
              <w:spacing w:line="276" w:lineRule="auto"/>
              <w:rPr>
                <w:rFonts w:ascii="宋体" w:hAnsi="宋体"/>
                <w:szCs w:val="21"/>
              </w:rPr>
            </w:pPr>
          </w:p>
          <w:p>
            <w:pPr>
              <w:spacing w:line="276" w:lineRule="auto"/>
              <w:rPr>
                <w:rFonts w:ascii="宋体" w:hAnsi="宋体"/>
                <w:szCs w:val="21"/>
              </w:rPr>
            </w:pPr>
            <w:r>
              <w:rPr>
                <w:rFonts w:ascii="宋体" w:hAnsi="宋体"/>
                <w:szCs w:val="21"/>
              </w:rPr>
              <w:t>运维情况</w:t>
            </w:r>
          </w:p>
        </w:tc>
        <w:tc>
          <w:tcPr>
            <w:tcW w:w="5233" w:type="dxa"/>
            <w:tcBorders>
              <w:top w:val="single" w:color="000000" w:sz="6" w:space="0"/>
              <w:left w:val="single" w:color="000000" w:sz="6" w:space="0"/>
              <w:right w:val="single" w:color="000000" w:sz="6" w:space="0"/>
            </w:tcBorders>
            <w:vAlign w:val="center"/>
          </w:tcPr>
          <w:p>
            <w:pPr>
              <w:spacing w:line="276" w:lineRule="auto"/>
              <w:rPr>
                <w:rFonts w:ascii="宋体" w:hAnsi="宋体"/>
                <w:szCs w:val="21"/>
              </w:rPr>
            </w:pPr>
            <w:r>
              <w:rPr>
                <w:rFonts w:ascii="宋体" w:hAnsi="宋体"/>
                <w:szCs w:val="21"/>
              </w:rPr>
              <w:t>中标方按照仪器设备运维要求做好相应巡检工作、例行维护、更换耗材及校准标定工作，做好相关记录，以保证仪器的正常运行。</w:t>
            </w:r>
          </w:p>
          <w:p>
            <w:pPr>
              <w:spacing w:line="276" w:lineRule="auto"/>
              <w:rPr>
                <w:rFonts w:ascii="宋体" w:hAnsi="宋体"/>
                <w:szCs w:val="21"/>
              </w:rPr>
            </w:pPr>
            <w:r>
              <w:rPr>
                <w:rFonts w:ascii="宋体" w:hAnsi="宋体"/>
                <w:szCs w:val="21"/>
              </w:rPr>
              <w:t>中标方须及时发现、报告及解决问题，如业主先于中标方发现问题则认为运维不响应。</w:t>
            </w:r>
          </w:p>
        </w:tc>
        <w:tc>
          <w:tcPr>
            <w:tcW w:w="309" w:type="dxa"/>
            <w:tcBorders>
              <w:top w:val="single" w:color="000000" w:sz="6" w:space="0"/>
              <w:left w:val="single" w:color="000000" w:sz="6" w:space="0"/>
              <w:right w:val="single" w:color="000000" w:sz="6" w:space="0"/>
            </w:tcBorders>
            <w:vAlign w:val="center"/>
          </w:tcPr>
          <w:p>
            <w:pPr>
              <w:spacing w:line="276" w:lineRule="auto"/>
              <w:rPr>
                <w:rFonts w:ascii="宋体" w:hAnsi="宋体"/>
                <w:szCs w:val="21"/>
              </w:rPr>
            </w:pPr>
          </w:p>
          <w:p>
            <w:pPr>
              <w:spacing w:line="276" w:lineRule="auto"/>
              <w:rPr>
                <w:rFonts w:ascii="宋体" w:hAnsi="宋体"/>
                <w:szCs w:val="21"/>
              </w:rPr>
            </w:pPr>
            <w:r>
              <w:rPr>
                <w:rFonts w:ascii="宋体" w:hAnsi="宋体"/>
                <w:szCs w:val="21"/>
              </w:rPr>
              <w:t>30</w:t>
            </w:r>
          </w:p>
        </w:tc>
        <w:tc>
          <w:tcPr>
            <w:tcW w:w="2080" w:type="dxa"/>
            <w:tcBorders>
              <w:left w:val="single" w:color="000000" w:sz="6" w:space="0"/>
              <w:bottom w:val="single" w:color="000000" w:sz="6" w:space="0"/>
            </w:tcBorders>
            <w:vAlign w:val="center"/>
          </w:tcPr>
          <w:p>
            <w:pPr>
              <w:spacing w:line="276" w:lineRule="auto"/>
              <w:rPr>
                <w:rFonts w:ascii="宋体" w:hAnsi="宋体"/>
                <w:szCs w:val="21"/>
              </w:rPr>
            </w:pPr>
          </w:p>
          <w:p>
            <w:pPr>
              <w:spacing w:line="276" w:lineRule="auto"/>
              <w:rPr>
                <w:rFonts w:ascii="宋体" w:hAnsi="宋体"/>
                <w:szCs w:val="21"/>
              </w:rPr>
            </w:pPr>
            <w:r>
              <w:rPr>
                <w:rFonts w:ascii="宋体" w:hAnsi="宋体"/>
                <w:szCs w:val="21"/>
              </w:rPr>
              <w:t>不响应一次扣2分，扣完为止。</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984" w:hRule="atLeast"/>
        </w:trPr>
        <w:tc>
          <w:tcPr>
            <w:tcW w:w="309" w:type="dxa"/>
            <w:tcBorders>
              <w:top w:val="single" w:color="000000" w:sz="6" w:space="0"/>
              <w:bottom w:val="single" w:color="000000" w:sz="6" w:space="0"/>
              <w:right w:val="single" w:color="000000" w:sz="6" w:space="0"/>
            </w:tcBorders>
            <w:vAlign w:val="center"/>
          </w:tcPr>
          <w:p>
            <w:pPr>
              <w:spacing w:line="276" w:lineRule="auto"/>
              <w:rPr>
                <w:rFonts w:ascii="宋体" w:hAnsi="宋体"/>
                <w:szCs w:val="21"/>
              </w:rPr>
            </w:pPr>
          </w:p>
          <w:p>
            <w:pPr>
              <w:spacing w:line="276" w:lineRule="auto"/>
              <w:rPr>
                <w:rFonts w:ascii="宋体" w:hAnsi="宋体"/>
                <w:szCs w:val="21"/>
              </w:rPr>
            </w:pPr>
            <w:r>
              <w:rPr>
                <w:rFonts w:ascii="宋体" w:hAnsi="宋体"/>
                <w:szCs w:val="21"/>
              </w:rPr>
              <w:t>2</w:t>
            </w:r>
          </w:p>
        </w:tc>
        <w:tc>
          <w:tcPr>
            <w:tcW w:w="895" w:type="dxa"/>
            <w:tcBorders>
              <w:top w:val="single" w:color="000000" w:sz="6" w:space="0"/>
              <w:left w:val="single" w:color="000000" w:sz="6" w:space="0"/>
              <w:bottom w:val="single" w:color="000000" w:sz="6" w:space="0"/>
              <w:right w:val="single" w:color="000000" w:sz="6" w:space="0"/>
            </w:tcBorders>
            <w:vAlign w:val="center"/>
          </w:tcPr>
          <w:p>
            <w:pPr>
              <w:spacing w:line="276" w:lineRule="auto"/>
              <w:rPr>
                <w:rFonts w:ascii="宋体" w:hAnsi="宋体"/>
                <w:szCs w:val="21"/>
              </w:rPr>
            </w:pPr>
          </w:p>
          <w:p>
            <w:pPr>
              <w:spacing w:line="276" w:lineRule="auto"/>
              <w:rPr>
                <w:rFonts w:ascii="宋体" w:hAnsi="宋体"/>
                <w:szCs w:val="21"/>
              </w:rPr>
            </w:pPr>
            <w:r>
              <w:rPr>
                <w:rFonts w:ascii="宋体" w:hAnsi="宋体"/>
                <w:szCs w:val="21"/>
              </w:rPr>
              <w:t>运维响应</w:t>
            </w:r>
          </w:p>
        </w:tc>
        <w:tc>
          <w:tcPr>
            <w:tcW w:w="5233" w:type="dxa"/>
            <w:tcBorders>
              <w:top w:val="single" w:color="000000" w:sz="6" w:space="0"/>
              <w:left w:val="single" w:color="000000" w:sz="6" w:space="0"/>
              <w:bottom w:val="single" w:color="000000" w:sz="6" w:space="0"/>
              <w:right w:val="single" w:color="000000" w:sz="6" w:space="0"/>
            </w:tcBorders>
            <w:vAlign w:val="center"/>
          </w:tcPr>
          <w:p>
            <w:pPr>
              <w:spacing w:line="276" w:lineRule="auto"/>
              <w:rPr>
                <w:rFonts w:ascii="宋体" w:hAnsi="宋体"/>
                <w:szCs w:val="21"/>
              </w:rPr>
            </w:pPr>
            <w:r>
              <w:rPr>
                <w:rFonts w:ascii="宋体" w:hAnsi="宋体"/>
                <w:szCs w:val="21"/>
              </w:rPr>
              <w:t>中标方按照2.5.3要求及时响应，保证运维仪器设备及平台系统正常运行。</w:t>
            </w:r>
          </w:p>
        </w:tc>
        <w:tc>
          <w:tcPr>
            <w:tcW w:w="309" w:type="dxa"/>
            <w:tcBorders>
              <w:top w:val="single" w:color="000000" w:sz="6" w:space="0"/>
              <w:left w:val="single" w:color="000000" w:sz="6" w:space="0"/>
              <w:bottom w:val="single" w:color="000000" w:sz="6" w:space="0"/>
              <w:right w:val="single" w:color="000000" w:sz="6" w:space="0"/>
            </w:tcBorders>
            <w:vAlign w:val="center"/>
          </w:tcPr>
          <w:p>
            <w:pPr>
              <w:spacing w:line="276" w:lineRule="auto"/>
              <w:rPr>
                <w:rFonts w:ascii="宋体" w:hAnsi="宋体"/>
                <w:szCs w:val="21"/>
              </w:rPr>
            </w:pPr>
          </w:p>
          <w:p>
            <w:pPr>
              <w:spacing w:line="276" w:lineRule="auto"/>
              <w:rPr>
                <w:rFonts w:ascii="宋体" w:hAnsi="宋体"/>
                <w:szCs w:val="21"/>
              </w:rPr>
            </w:pPr>
            <w:r>
              <w:rPr>
                <w:rFonts w:ascii="宋体" w:hAnsi="宋体"/>
                <w:szCs w:val="21"/>
              </w:rPr>
              <w:t>10</w:t>
            </w:r>
          </w:p>
        </w:tc>
        <w:tc>
          <w:tcPr>
            <w:tcW w:w="2080" w:type="dxa"/>
            <w:tcBorders>
              <w:top w:val="single" w:color="000000" w:sz="6" w:space="0"/>
              <w:left w:val="single" w:color="000000" w:sz="6" w:space="0"/>
              <w:bottom w:val="single" w:color="000000" w:sz="6" w:space="0"/>
            </w:tcBorders>
            <w:vAlign w:val="center"/>
          </w:tcPr>
          <w:p>
            <w:pPr>
              <w:spacing w:line="276" w:lineRule="auto"/>
              <w:rPr>
                <w:rFonts w:ascii="宋体" w:hAnsi="宋体"/>
                <w:szCs w:val="21"/>
              </w:rPr>
            </w:pPr>
          </w:p>
          <w:p>
            <w:pPr>
              <w:spacing w:line="276" w:lineRule="auto"/>
              <w:rPr>
                <w:rFonts w:ascii="宋体" w:hAnsi="宋体"/>
                <w:szCs w:val="21"/>
              </w:rPr>
            </w:pPr>
            <w:r>
              <w:rPr>
                <w:rFonts w:ascii="宋体" w:hAnsi="宋体"/>
                <w:szCs w:val="21"/>
              </w:rPr>
              <w:t>不响应一次扣2分，扣完为止。</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962" w:hRule="atLeast"/>
        </w:trPr>
        <w:tc>
          <w:tcPr>
            <w:tcW w:w="309" w:type="dxa"/>
            <w:tcBorders>
              <w:top w:val="single" w:color="000000" w:sz="6" w:space="0"/>
              <w:bottom w:val="single" w:color="000000" w:sz="6" w:space="0"/>
              <w:right w:val="single" w:color="000000" w:sz="6" w:space="0"/>
            </w:tcBorders>
            <w:vAlign w:val="center"/>
          </w:tcPr>
          <w:p>
            <w:pPr>
              <w:spacing w:line="276" w:lineRule="auto"/>
              <w:rPr>
                <w:rFonts w:ascii="宋体" w:hAnsi="宋体"/>
                <w:szCs w:val="21"/>
              </w:rPr>
            </w:pPr>
            <w:r>
              <w:rPr>
                <w:rFonts w:ascii="宋体" w:hAnsi="宋体"/>
                <w:szCs w:val="21"/>
              </w:rPr>
              <w:t>3</w:t>
            </w:r>
          </w:p>
        </w:tc>
        <w:tc>
          <w:tcPr>
            <w:tcW w:w="895" w:type="dxa"/>
            <w:tcBorders>
              <w:top w:val="single" w:color="000000" w:sz="6" w:space="0"/>
              <w:left w:val="single" w:color="000000" w:sz="6" w:space="0"/>
              <w:right w:val="single" w:color="000000" w:sz="6" w:space="0"/>
            </w:tcBorders>
            <w:vAlign w:val="center"/>
          </w:tcPr>
          <w:p>
            <w:pPr>
              <w:spacing w:line="276" w:lineRule="auto"/>
              <w:rPr>
                <w:rFonts w:ascii="宋体" w:hAnsi="宋体"/>
                <w:szCs w:val="21"/>
              </w:rPr>
            </w:pPr>
            <w:r>
              <w:rPr>
                <w:rFonts w:ascii="宋体" w:hAnsi="宋体"/>
                <w:szCs w:val="21"/>
              </w:rPr>
              <w:t>运行时长</w:t>
            </w:r>
          </w:p>
        </w:tc>
        <w:tc>
          <w:tcPr>
            <w:tcW w:w="5233" w:type="dxa"/>
            <w:tcBorders>
              <w:top w:val="single" w:color="000000" w:sz="6" w:space="0"/>
              <w:left w:val="single" w:color="000000" w:sz="6" w:space="0"/>
              <w:right w:val="single" w:color="000000" w:sz="6" w:space="0"/>
            </w:tcBorders>
            <w:vAlign w:val="center"/>
          </w:tcPr>
          <w:p>
            <w:pPr>
              <w:spacing w:line="276" w:lineRule="auto"/>
              <w:rPr>
                <w:rFonts w:ascii="宋体" w:hAnsi="宋体"/>
                <w:szCs w:val="21"/>
              </w:rPr>
            </w:pPr>
            <w:r>
              <w:rPr>
                <w:rFonts w:ascii="宋体" w:hAnsi="宋体"/>
                <w:szCs w:val="21"/>
              </w:rPr>
              <w:t>除停电、台风、地震、山洪、战争等不可抗拒因素外，仪器24小时正常开机，仪器无故障运行时间占理论</w:t>
            </w:r>
            <w:r>
              <w:rPr>
                <w:rFonts w:hint="eastAsia" w:ascii="宋体" w:hAnsi="宋体"/>
                <w:szCs w:val="21"/>
              </w:rPr>
              <w:t>运维</w:t>
            </w:r>
            <w:r>
              <w:rPr>
                <w:rFonts w:ascii="宋体" w:hAnsi="宋体"/>
                <w:szCs w:val="21"/>
              </w:rPr>
              <w:t>时间的80%以上。</w:t>
            </w:r>
          </w:p>
        </w:tc>
        <w:tc>
          <w:tcPr>
            <w:tcW w:w="309" w:type="dxa"/>
            <w:tcBorders>
              <w:top w:val="single" w:color="000000" w:sz="6" w:space="0"/>
              <w:left w:val="single" w:color="000000" w:sz="6" w:space="0"/>
              <w:right w:val="single" w:color="000000" w:sz="6" w:space="0"/>
            </w:tcBorders>
            <w:vAlign w:val="center"/>
          </w:tcPr>
          <w:p>
            <w:pPr>
              <w:spacing w:line="276" w:lineRule="auto"/>
              <w:rPr>
                <w:rFonts w:ascii="宋体" w:hAnsi="宋体"/>
                <w:szCs w:val="21"/>
              </w:rPr>
            </w:pPr>
            <w:r>
              <w:rPr>
                <w:rFonts w:ascii="宋体" w:hAnsi="宋体"/>
                <w:szCs w:val="21"/>
              </w:rPr>
              <w:t>20</w:t>
            </w:r>
          </w:p>
        </w:tc>
        <w:tc>
          <w:tcPr>
            <w:tcW w:w="2080" w:type="dxa"/>
            <w:tcBorders>
              <w:top w:val="single" w:color="000000" w:sz="6" w:space="0"/>
              <w:left w:val="single" w:color="000000" w:sz="6" w:space="0"/>
            </w:tcBorders>
            <w:vAlign w:val="center"/>
          </w:tcPr>
          <w:p>
            <w:pPr>
              <w:spacing w:line="276" w:lineRule="auto"/>
              <w:rPr>
                <w:rFonts w:ascii="宋体" w:hAnsi="宋体"/>
                <w:szCs w:val="21"/>
              </w:rPr>
            </w:pPr>
            <w:r>
              <w:rPr>
                <w:rFonts w:ascii="宋体" w:hAnsi="宋体"/>
                <w:szCs w:val="21"/>
              </w:rPr>
              <w:t>达不到80%，每降低</w:t>
            </w:r>
          </w:p>
          <w:p>
            <w:pPr>
              <w:spacing w:line="276" w:lineRule="auto"/>
              <w:rPr>
                <w:rFonts w:ascii="宋体" w:hAnsi="宋体"/>
                <w:szCs w:val="21"/>
              </w:rPr>
            </w:pPr>
            <w:r>
              <w:rPr>
                <w:rFonts w:ascii="宋体" w:hAnsi="宋体"/>
                <w:szCs w:val="21"/>
              </w:rPr>
              <w:t>1%扣2分，扣完为止。</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841" w:hRule="atLeast"/>
        </w:trPr>
        <w:tc>
          <w:tcPr>
            <w:tcW w:w="309" w:type="dxa"/>
            <w:tcBorders>
              <w:top w:val="single" w:color="000000" w:sz="6" w:space="0"/>
              <w:bottom w:val="single" w:color="000000" w:sz="6" w:space="0"/>
              <w:right w:val="single" w:color="000000" w:sz="6" w:space="0"/>
            </w:tcBorders>
            <w:vAlign w:val="center"/>
          </w:tcPr>
          <w:p>
            <w:pPr>
              <w:spacing w:line="276" w:lineRule="auto"/>
              <w:rPr>
                <w:rFonts w:ascii="宋体" w:hAnsi="宋体"/>
                <w:szCs w:val="21"/>
              </w:rPr>
            </w:pPr>
            <w:r>
              <w:rPr>
                <w:rFonts w:ascii="宋体" w:hAnsi="宋体"/>
                <w:szCs w:val="21"/>
              </w:rPr>
              <w:t>4</w:t>
            </w:r>
          </w:p>
        </w:tc>
        <w:tc>
          <w:tcPr>
            <w:tcW w:w="895" w:type="dxa"/>
            <w:tcBorders>
              <w:top w:val="single" w:color="000000" w:sz="6" w:space="0"/>
              <w:left w:val="single" w:color="000000" w:sz="6" w:space="0"/>
              <w:bottom w:val="single" w:color="000000" w:sz="6" w:space="0"/>
              <w:right w:val="single" w:color="000000" w:sz="6" w:space="0"/>
            </w:tcBorders>
            <w:vAlign w:val="center"/>
          </w:tcPr>
          <w:p>
            <w:pPr>
              <w:spacing w:line="276" w:lineRule="auto"/>
              <w:rPr>
                <w:rFonts w:ascii="宋体" w:hAnsi="宋体"/>
                <w:szCs w:val="21"/>
              </w:rPr>
            </w:pPr>
            <w:r>
              <w:rPr>
                <w:rFonts w:ascii="宋体" w:hAnsi="宋体"/>
                <w:szCs w:val="21"/>
              </w:rPr>
              <w:t>数据有效获取率</w:t>
            </w:r>
          </w:p>
        </w:tc>
        <w:tc>
          <w:tcPr>
            <w:tcW w:w="5233" w:type="dxa"/>
            <w:tcBorders>
              <w:top w:val="single" w:color="000000" w:sz="6" w:space="0"/>
              <w:left w:val="single" w:color="000000" w:sz="6" w:space="0"/>
              <w:bottom w:val="single" w:color="000000" w:sz="6" w:space="0"/>
              <w:right w:val="single" w:color="000000" w:sz="6" w:space="0"/>
            </w:tcBorders>
            <w:vAlign w:val="center"/>
          </w:tcPr>
          <w:p>
            <w:pPr>
              <w:spacing w:line="276" w:lineRule="auto"/>
              <w:rPr>
                <w:rFonts w:ascii="宋体" w:hAnsi="宋体"/>
                <w:szCs w:val="21"/>
              </w:rPr>
            </w:pPr>
          </w:p>
          <w:p>
            <w:pPr>
              <w:spacing w:line="276" w:lineRule="auto"/>
              <w:rPr>
                <w:rFonts w:ascii="宋体" w:hAnsi="宋体"/>
                <w:szCs w:val="21"/>
              </w:rPr>
            </w:pPr>
            <w:r>
              <w:rPr>
                <w:rFonts w:ascii="宋体" w:hAnsi="宋体"/>
                <w:szCs w:val="21"/>
              </w:rPr>
              <w:t>仪器数据有效获取率的均值不低于80%)。</w:t>
            </w:r>
          </w:p>
        </w:tc>
        <w:tc>
          <w:tcPr>
            <w:tcW w:w="309" w:type="dxa"/>
            <w:tcBorders>
              <w:top w:val="single" w:color="000000" w:sz="6" w:space="0"/>
              <w:left w:val="single" w:color="000000" w:sz="6" w:space="0"/>
              <w:bottom w:val="single" w:color="000000" w:sz="6" w:space="0"/>
              <w:right w:val="single" w:color="000000" w:sz="6" w:space="0"/>
            </w:tcBorders>
            <w:vAlign w:val="center"/>
          </w:tcPr>
          <w:p>
            <w:pPr>
              <w:spacing w:line="276" w:lineRule="auto"/>
              <w:rPr>
                <w:rFonts w:ascii="宋体" w:hAnsi="宋体"/>
                <w:szCs w:val="21"/>
              </w:rPr>
            </w:pPr>
            <w:r>
              <w:rPr>
                <w:rFonts w:ascii="宋体" w:hAnsi="宋体"/>
                <w:szCs w:val="21"/>
              </w:rPr>
              <w:t>20</w:t>
            </w:r>
          </w:p>
        </w:tc>
        <w:tc>
          <w:tcPr>
            <w:tcW w:w="2080" w:type="dxa"/>
            <w:tcBorders>
              <w:top w:val="single" w:color="000000" w:sz="6" w:space="0"/>
              <w:left w:val="single" w:color="000000" w:sz="6" w:space="0"/>
              <w:bottom w:val="single" w:color="000000" w:sz="6" w:space="0"/>
            </w:tcBorders>
            <w:vAlign w:val="center"/>
          </w:tcPr>
          <w:p>
            <w:pPr>
              <w:spacing w:line="276" w:lineRule="auto"/>
              <w:rPr>
                <w:rFonts w:ascii="宋体" w:hAnsi="宋体"/>
                <w:szCs w:val="21"/>
              </w:rPr>
            </w:pPr>
            <w:r>
              <w:rPr>
                <w:rFonts w:ascii="宋体" w:hAnsi="宋体"/>
                <w:szCs w:val="21"/>
              </w:rPr>
              <w:t>达不到8</w:t>
            </w:r>
            <w:r>
              <w:rPr>
                <w:rFonts w:hint="eastAsia" w:ascii="宋体" w:hAnsi="宋体"/>
                <w:szCs w:val="21"/>
              </w:rPr>
              <w:t>5</w:t>
            </w:r>
            <w:r>
              <w:rPr>
                <w:rFonts w:ascii="宋体" w:hAnsi="宋体"/>
                <w:szCs w:val="21"/>
              </w:rPr>
              <w:t>%，每降低1%扣2分，扣完为止。</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278" w:hRule="atLeast"/>
        </w:trPr>
        <w:tc>
          <w:tcPr>
            <w:tcW w:w="309" w:type="dxa"/>
            <w:tcBorders>
              <w:top w:val="single" w:color="000000" w:sz="6" w:space="0"/>
              <w:bottom w:val="single" w:color="000000" w:sz="6" w:space="0"/>
              <w:right w:val="single" w:color="000000" w:sz="6" w:space="0"/>
            </w:tcBorders>
            <w:vAlign w:val="center"/>
          </w:tcPr>
          <w:p>
            <w:pPr>
              <w:spacing w:line="276" w:lineRule="auto"/>
              <w:rPr>
                <w:rFonts w:ascii="宋体" w:hAnsi="宋体"/>
                <w:szCs w:val="21"/>
              </w:rPr>
            </w:pPr>
            <w:r>
              <w:rPr>
                <w:rFonts w:ascii="宋体" w:hAnsi="宋体"/>
                <w:szCs w:val="21"/>
              </w:rPr>
              <w:t>5</w:t>
            </w:r>
          </w:p>
        </w:tc>
        <w:tc>
          <w:tcPr>
            <w:tcW w:w="895" w:type="dxa"/>
            <w:tcBorders>
              <w:top w:val="single" w:color="000000" w:sz="6" w:space="0"/>
              <w:left w:val="single" w:color="000000" w:sz="6" w:space="0"/>
              <w:bottom w:val="single" w:color="000000" w:sz="6" w:space="0"/>
              <w:right w:val="single" w:color="000000" w:sz="6" w:space="0"/>
            </w:tcBorders>
            <w:vAlign w:val="center"/>
          </w:tcPr>
          <w:p>
            <w:pPr>
              <w:spacing w:line="276" w:lineRule="auto"/>
              <w:rPr>
                <w:rFonts w:ascii="宋体" w:hAnsi="宋体"/>
                <w:szCs w:val="21"/>
              </w:rPr>
            </w:pPr>
            <w:r>
              <w:rPr>
                <w:rFonts w:ascii="宋体" w:hAnsi="宋体"/>
                <w:szCs w:val="21"/>
              </w:rPr>
              <w:t>数据审核时效性</w:t>
            </w:r>
          </w:p>
        </w:tc>
        <w:tc>
          <w:tcPr>
            <w:tcW w:w="5233" w:type="dxa"/>
            <w:tcBorders>
              <w:top w:val="single" w:color="000000" w:sz="6" w:space="0"/>
              <w:left w:val="single" w:color="000000" w:sz="6" w:space="0"/>
              <w:bottom w:val="single" w:color="000000" w:sz="6" w:space="0"/>
              <w:right w:val="single" w:color="000000" w:sz="6" w:space="0"/>
            </w:tcBorders>
            <w:vAlign w:val="center"/>
          </w:tcPr>
          <w:p>
            <w:pPr>
              <w:spacing w:line="276" w:lineRule="auto"/>
              <w:rPr>
                <w:rFonts w:ascii="宋体" w:hAnsi="宋体"/>
                <w:szCs w:val="21"/>
              </w:rPr>
            </w:pPr>
            <w:r>
              <w:rPr>
                <w:rFonts w:ascii="宋体" w:hAnsi="宋体"/>
                <w:szCs w:val="21"/>
              </w:rPr>
              <w:t>每日12时前完成前一日数据审核、手动二次积分等，并提交审核数据。</w:t>
            </w:r>
          </w:p>
        </w:tc>
        <w:tc>
          <w:tcPr>
            <w:tcW w:w="309" w:type="dxa"/>
            <w:tcBorders>
              <w:top w:val="single" w:color="000000" w:sz="6" w:space="0"/>
              <w:left w:val="single" w:color="000000" w:sz="6" w:space="0"/>
              <w:bottom w:val="single" w:color="000000" w:sz="6" w:space="0"/>
              <w:right w:val="single" w:color="000000" w:sz="6" w:space="0"/>
            </w:tcBorders>
            <w:vAlign w:val="center"/>
          </w:tcPr>
          <w:p>
            <w:pPr>
              <w:spacing w:line="276" w:lineRule="auto"/>
              <w:rPr>
                <w:rFonts w:ascii="宋体" w:hAnsi="宋体"/>
                <w:szCs w:val="21"/>
              </w:rPr>
            </w:pPr>
            <w:r>
              <w:rPr>
                <w:rFonts w:ascii="宋体" w:hAnsi="宋体"/>
                <w:szCs w:val="21"/>
              </w:rPr>
              <w:t>15</w:t>
            </w:r>
          </w:p>
        </w:tc>
        <w:tc>
          <w:tcPr>
            <w:tcW w:w="2080" w:type="dxa"/>
            <w:tcBorders>
              <w:top w:val="single" w:color="000000" w:sz="6" w:space="0"/>
              <w:left w:val="single" w:color="000000" w:sz="6" w:space="0"/>
              <w:bottom w:val="single" w:color="000000" w:sz="6" w:space="0"/>
            </w:tcBorders>
            <w:vAlign w:val="center"/>
          </w:tcPr>
          <w:p>
            <w:pPr>
              <w:spacing w:line="276" w:lineRule="auto"/>
              <w:rPr>
                <w:rFonts w:ascii="宋体" w:hAnsi="宋体"/>
                <w:szCs w:val="21"/>
              </w:rPr>
            </w:pPr>
          </w:p>
          <w:p>
            <w:pPr>
              <w:spacing w:line="276" w:lineRule="auto"/>
              <w:rPr>
                <w:rFonts w:ascii="宋体" w:hAnsi="宋体"/>
                <w:szCs w:val="21"/>
              </w:rPr>
            </w:pPr>
            <w:r>
              <w:rPr>
                <w:rFonts w:ascii="宋体" w:hAnsi="宋体"/>
                <w:szCs w:val="21"/>
              </w:rPr>
              <w:t>未在规定时间内审核数据的一次扣</w:t>
            </w:r>
            <w:r>
              <w:rPr>
                <w:rFonts w:hint="eastAsia" w:ascii="宋体" w:hAnsi="宋体"/>
                <w:szCs w:val="21"/>
              </w:rPr>
              <w:t>2</w:t>
            </w:r>
            <w:r>
              <w:rPr>
                <w:rFonts w:ascii="宋体" w:hAnsi="宋体"/>
                <w:szCs w:val="21"/>
              </w:rPr>
              <w:t>分，扣完为止。</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973" w:hRule="atLeast"/>
        </w:trPr>
        <w:tc>
          <w:tcPr>
            <w:tcW w:w="309" w:type="dxa"/>
            <w:tcBorders>
              <w:top w:val="single" w:color="000000" w:sz="6" w:space="0"/>
              <w:right w:val="single" w:color="000000" w:sz="6" w:space="0"/>
            </w:tcBorders>
            <w:vAlign w:val="center"/>
          </w:tcPr>
          <w:p>
            <w:pPr>
              <w:spacing w:line="276" w:lineRule="auto"/>
              <w:rPr>
                <w:rFonts w:ascii="宋体" w:hAnsi="宋体"/>
                <w:szCs w:val="21"/>
              </w:rPr>
            </w:pPr>
            <w:r>
              <w:rPr>
                <w:rFonts w:hint="eastAsia" w:ascii="宋体" w:hAnsi="宋体"/>
                <w:szCs w:val="21"/>
              </w:rPr>
              <w:t>6</w:t>
            </w:r>
          </w:p>
        </w:tc>
        <w:tc>
          <w:tcPr>
            <w:tcW w:w="895" w:type="dxa"/>
            <w:tcBorders>
              <w:top w:val="single" w:color="000000" w:sz="6" w:space="0"/>
              <w:left w:val="single" w:color="000000" w:sz="6" w:space="0"/>
              <w:right w:val="single" w:color="000000" w:sz="6" w:space="0"/>
            </w:tcBorders>
            <w:vAlign w:val="center"/>
          </w:tcPr>
          <w:p>
            <w:pPr>
              <w:spacing w:line="276" w:lineRule="auto"/>
              <w:rPr>
                <w:rFonts w:ascii="宋体" w:hAnsi="宋体"/>
                <w:szCs w:val="21"/>
              </w:rPr>
            </w:pPr>
            <w:r>
              <w:rPr>
                <w:rFonts w:ascii="宋体" w:hAnsi="宋体"/>
                <w:szCs w:val="21"/>
              </w:rPr>
              <w:t>协助开展其他相关工作</w:t>
            </w:r>
          </w:p>
        </w:tc>
        <w:tc>
          <w:tcPr>
            <w:tcW w:w="5233" w:type="dxa"/>
            <w:tcBorders>
              <w:top w:val="single" w:color="000000" w:sz="6" w:space="0"/>
              <w:left w:val="single" w:color="000000" w:sz="6" w:space="0"/>
              <w:right w:val="single" w:color="000000" w:sz="6" w:space="0"/>
            </w:tcBorders>
            <w:vAlign w:val="center"/>
          </w:tcPr>
          <w:p>
            <w:pPr>
              <w:spacing w:line="276" w:lineRule="auto"/>
              <w:rPr>
                <w:rFonts w:ascii="宋体" w:hAnsi="宋体"/>
                <w:szCs w:val="21"/>
              </w:rPr>
            </w:pPr>
            <w:r>
              <w:rPr>
                <w:rFonts w:ascii="宋体" w:hAnsi="宋体"/>
                <w:szCs w:val="21"/>
              </w:rPr>
              <w:t>根据业主要求协助开展其他相关工作。</w:t>
            </w:r>
          </w:p>
        </w:tc>
        <w:tc>
          <w:tcPr>
            <w:tcW w:w="309" w:type="dxa"/>
            <w:tcBorders>
              <w:top w:val="single" w:color="000000" w:sz="6" w:space="0"/>
              <w:left w:val="single" w:color="000000" w:sz="6" w:space="0"/>
              <w:right w:val="single" w:color="000000" w:sz="6" w:space="0"/>
            </w:tcBorders>
            <w:vAlign w:val="center"/>
          </w:tcPr>
          <w:p>
            <w:pPr>
              <w:spacing w:line="276" w:lineRule="auto"/>
              <w:rPr>
                <w:rFonts w:ascii="宋体" w:hAnsi="宋体"/>
                <w:szCs w:val="21"/>
              </w:rPr>
            </w:pPr>
            <w:r>
              <w:rPr>
                <w:rFonts w:ascii="宋体" w:hAnsi="宋体"/>
                <w:szCs w:val="21"/>
              </w:rPr>
              <w:t>5</w:t>
            </w:r>
          </w:p>
        </w:tc>
        <w:tc>
          <w:tcPr>
            <w:tcW w:w="2080" w:type="dxa"/>
            <w:tcBorders>
              <w:top w:val="single" w:color="000000" w:sz="6" w:space="0"/>
              <w:left w:val="single" w:color="000000" w:sz="6" w:space="0"/>
            </w:tcBorders>
            <w:vAlign w:val="center"/>
          </w:tcPr>
          <w:p>
            <w:pPr>
              <w:spacing w:line="276" w:lineRule="auto"/>
              <w:rPr>
                <w:rFonts w:ascii="宋体" w:hAnsi="宋体"/>
                <w:szCs w:val="21"/>
              </w:rPr>
            </w:pPr>
            <w:r>
              <w:rPr>
                <w:rFonts w:ascii="宋体" w:hAnsi="宋体"/>
                <w:szCs w:val="21"/>
              </w:rPr>
              <w:t>未完成一项的扣1分，扣完为止。</w:t>
            </w:r>
          </w:p>
        </w:tc>
      </w:tr>
    </w:tbl>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2.6运维验收要求</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按月考核、计费。中标方提出验收申请及提供以下材料：</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(1)提供每月的运维原始记录、运维报告。</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(2)提供原始、审核数据、质控数据。</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(3)考核期间月度考核平均得分≥90分的，全额支付合同款。月度考核达不到90分的，每少1分，扣1千；达不到60分的，不支付期间合同款，并扣除履约保证金。</w:t>
      </w:r>
    </w:p>
    <w:p>
      <w:pPr>
        <w:widowControl/>
        <w:shd w:val="clear" w:color="auto" w:fill="FFFFFF"/>
        <w:tabs>
          <w:tab w:val="left" w:pos="2383"/>
        </w:tabs>
        <w:spacing w:line="52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ab/>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37212"/>
    <w:rsid w:val="000761FF"/>
    <w:rsid w:val="000C1861"/>
    <w:rsid w:val="000E02F8"/>
    <w:rsid w:val="001600C0"/>
    <w:rsid w:val="00165A12"/>
    <w:rsid w:val="00183302"/>
    <w:rsid w:val="002A5CF6"/>
    <w:rsid w:val="002C3DDD"/>
    <w:rsid w:val="002C6A62"/>
    <w:rsid w:val="002E4D72"/>
    <w:rsid w:val="002F338C"/>
    <w:rsid w:val="003A5754"/>
    <w:rsid w:val="003F484F"/>
    <w:rsid w:val="00457C97"/>
    <w:rsid w:val="00473AF5"/>
    <w:rsid w:val="0049798F"/>
    <w:rsid w:val="004F03FA"/>
    <w:rsid w:val="005071BF"/>
    <w:rsid w:val="00512585"/>
    <w:rsid w:val="0055496B"/>
    <w:rsid w:val="005C69D8"/>
    <w:rsid w:val="005E66B3"/>
    <w:rsid w:val="006144BA"/>
    <w:rsid w:val="006145F3"/>
    <w:rsid w:val="0071388E"/>
    <w:rsid w:val="00737A2C"/>
    <w:rsid w:val="00794B4C"/>
    <w:rsid w:val="007F2604"/>
    <w:rsid w:val="00835D8D"/>
    <w:rsid w:val="008B1099"/>
    <w:rsid w:val="008E3A5D"/>
    <w:rsid w:val="008E7D62"/>
    <w:rsid w:val="0092422A"/>
    <w:rsid w:val="00934A50"/>
    <w:rsid w:val="0097756B"/>
    <w:rsid w:val="00982917"/>
    <w:rsid w:val="00995097"/>
    <w:rsid w:val="009A4192"/>
    <w:rsid w:val="009B3669"/>
    <w:rsid w:val="009E1839"/>
    <w:rsid w:val="009F3E43"/>
    <w:rsid w:val="00A60019"/>
    <w:rsid w:val="00A6499D"/>
    <w:rsid w:val="00AC29ED"/>
    <w:rsid w:val="00B05782"/>
    <w:rsid w:val="00B678DC"/>
    <w:rsid w:val="00B834BE"/>
    <w:rsid w:val="00BA0675"/>
    <w:rsid w:val="00C30A56"/>
    <w:rsid w:val="00C37212"/>
    <w:rsid w:val="00CB0AF9"/>
    <w:rsid w:val="00CB2103"/>
    <w:rsid w:val="00CD78F4"/>
    <w:rsid w:val="00D2106A"/>
    <w:rsid w:val="00DB6663"/>
    <w:rsid w:val="00DF7FC7"/>
    <w:rsid w:val="00E70C32"/>
    <w:rsid w:val="00F2626C"/>
    <w:rsid w:val="00F671DB"/>
    <w:rsid w:val="00F80843"/>
    <w:rsid w:val="00F857E4"/>
    <w:rsid w:val="00F95799"/>
    <w:rsid w:val="00FA58E9"/>
    <w:rsid w:val="014C70DD"/>
    <w:rsid w:val="052871E5"/>
    <w:rsid w:val="099239B5"/>
    <w:rsid w:val="0A305716"/>
    <w:rsid w:val="0E697F8E"/>
    <w:rsid w:val="154272FE"/>
    <w:rsid w:val="18A1470D"/>
    <w:rsid w:val="19D442B0"/>
    <w:rsid w:val="1AB85703"/>
    <w:rsid w:val="1DF32406"/>
    <w:rsid w:val="21B37D79"/>
    <w:rsid w:val="23D900B5"/>
    <w:rsid w:val="2A6376C6"/>
    <w:rsid w:val="2E9F11B7"/>
    <w:rsid w:val="30011B42"/>
    <w:rsid w:val="31F6120A"/>
    <w:rsid w:val="323716E2"/>
    <w:rsid w:val="34034265"/>
    <w:rsid w:val="34C768E9"/>
    <w:rsid w:val="3A693D63"/>
    <w:rsid w:val="3B0962C6"/>
    <w:rsid w:val="42D614A1"/>
    <w:rsid w:val="49F90C3B"/>
    <w:rsid w:val="4D340201"/>
    <w:rsid w:val="4DA3318D"/>
    <w:rsid w:val="54ED1D5E"/>
    <w:rsid w:val="550122A0"/>
    <w:rsid w:val="58A3469F"/>
    <w:rsid w:val="6AC819D1"/>
    <w:rsid w:val="6E0124DB"/>
    <w:rsid w:val="71196582"/>
    <w:rsid w:val="72BD291F"/>
    <w:rsid w:val="75B148C8"/>
    <w:rsid w:val="77741362"/>
    <w:rsid w:val="78EB08F5"/>
    <w:rsid w:val="79440AD8"/>
    <w:rsid w:val="7B6B63A8"/>
    <w:rsid w:val="7D675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3"/>
    <w:qFormat/>
    <w:uiPriority w:val="9"/>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5"/>
    <w:basedOn w:val="1"/>
    <w:next w:val="1"/>
    <w:link w:val="14"/>
    <w:qFormat/>
    <w:uiPriority w:val="9"/>
    <w:pPr>
      <w:widowControl/>
      <w:spacing w:before="100" w:beforeAutospacing="1" w:after="100" w:afterAutospacing="1"/>
      <w:jc w:val="left"/>
      <w:outlineLvl w:val="4"/>
    </w:pPr>
    <w:rPr>
      <w:rFonts w:ascii="宋体" w:hAnsi="宋体" w:cs="宋体"/>
      <w:b/>
      <w:bCs/>
      <w:kern w:val="0"/>
      <w:sz w:val="20"/>
      <w:szCs w:val="2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5"/>
    <w:qFormat/>
    <w:uiPriority w:val="1"/>
    <w:pPr>
      <w:autoSpaceDE w:val="0"/>
      <w:autoSpaceDN w:val="0"/>
      <w:jc w:val="left"/>
    </w:pPr>
    <w:rPr>
      <w:rFonts w:ascii="黑体" w:hAnsi="黑体" w:eastAsia="黑体" w:cs="黑体"/>
      <w:b/>
      <w:bCs/>
      <w:kern w:val="0"/>
      <w:sz w:val="32"/>
      <w:szCs w:val="32"/>
      <w:lang w:eastAsia="en-US" w:bidi="en-US"/>
    </w:rPr>
  </w:style>
  <w:style w:type="paragraph" w:styleId="5">
    <w:name w:val="Date"/>
    <w:basedOn w:val="1"/>
    <w:next w:val="1"/>
    <w:link w:val="16"/>
    <w:unhideWhenUsed/>
    <w:qFormat/>
    <w:uiPriority w:val="99"/>
    <w:pPr>
      <w:ind w:left="100" w:leftChars="2500"/>
    </w:p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character" w:customStyle="1" w:styleId="13">
    <w:name w:val="标题 3 Char"/>
    <w:basedOn w:val="10"/>
    <w:link w:val="2"/>
    <w:qFormat/>
    <w:uiPriority w:val="9"/>
    <w:rPr>
      <w:rFonts w:ascii="宋体" w:hAnsi="宋体" w:eastAsia="宋体" w:cs="宋体"/>
      <w:b/>
      <w:bCs/>
      <w:kern w:val="0"/>
      <w:sz w:val="27"/>
      <w:szCs w:val="27"/>
    </w:rPr>
  </w:style>
  <w:style w:type="character" w:customStyle="1" w:styleId="14">
    <w:name w:val="标题 5 Char"/>
    <w:basedOn w:val="10"/>
    <w:link w:val="3"/>
    <w:qFormat/>
    <w:uiPriority w:val="9"/>
    <w:rPr>
      <w:rFonts w:ascii="宋体" w:hAnsi="宋体" w:eastAsia="宋体" w:cs="宋体"/>
      <w:b/>
      <w:bCs/>
      <w:kern w:val="0"/>
      <w:sz w:val="20"/>
      <w:szCs w:val="20"/>
    </w:rPr>
  </w:style>
  <w:style w:type="character" w:customStyle="1" w:styleId="15">
    <w:name w:val="正文文本 Char"/>
    <w:basedOn w:val="10"/>
    <w:link w:val="4"/>
    <w:uiPriority w:val="1"/>
    <w:rPr>
      <w:rFonts w:ascii="黑体" w:hAnsi="黑体" w:eastAsia="黑体" w:cs="黑体"/>
      <w:b/>
      <w:bCs/>
      <w:kern w:val="0"/>
      <w:sz w:val="32"/>
      <w:szCs w:val="32"/>
      <w:lang w:eastAsia="en-US" w:bidi="en-US"/>
    </w:rPr>
  </w:style>
  <w:style w:type="character" w:customStyle="1" w:styleId="16">
    <w:name w:val="日期 Char"/>
    <w:basedOn w:val="10"/>
    <w:link w:val="5"/>
    <w:semiHidden/>
    <w:qFormat/>
    <w:uiPriority w:val="99"/>
  </w:style>
  <w:style w:type="character" w:customStyle="1" w:styleId="17">
    <w:name w:val="页脚 Char"/>
    <w:basedOn w:val="10"/>
    <w:link w:val="6"/>
    <w:semiHidden/>
    <w:qFormat/>
    <w:uiPriority w:val="99"/>
    <w:rPr>
      <w:sz w:val="18"/>
      <w:szCs w:val="18"/>
    </w:rPr>
  </w:style>
  <w:style w:type="character" w:customStyle="1" w:styleId="18">
    <w:name w:val="页眉 Char"/>
    <w:basedOn w:val="10"/>
    <w:link w:val="7"/>
    <w:semiHidden/>
    <w:qFormat/>
    <w:uiPriority w:val="99"/>
    <w:rPr>
      <w:sz w:val="18"/>
      <w:szCs w:val="18"/>
    </w:rPr>
  </w:style>
  <w:style w:type="character" w:customStyle="1" w:styleId="19">
    <w:name w:val="xl_sj_icon2"/>
    <w:basedOn w:val="10"/>
    <w:qFormat/>
    <w:uiPriority w:val="0"/>
  </w:style>
  <w:style w:type="character" w:customStyle="1" w:styleId="20">
    <w:name w:val="apple-converted-space"/>
    <w:basedOn w:val="10"/>
    <w:qFormat/>
    <w:uiPriority w:val="0"/>
  </w:style>
  <w:style w:type="paragraph" w:customStyle="1" w:styleId="21">
    <w:name w:val="Table Paragraph"/>
    <w:basedOn w:val="1"/>
    <w:qFormat/>
    <w:uiPriority w:val="1"/>
    <w:pPr>
      <w:autoSpaceDE w:val="0"/>
      <w:autoSpaceDN w:val="0"/>
      <w:spacing w:before="34"/>
      <w:ind w:left="276" w:right="267"/>
      <w:jc w:val="center"/>
    </w:pPr>
    <w:rPr>
      <w:rFonts w:ascii="Times New Roman" w:hAnsi="Times New Roman" w:eastAsia="Times New Roman"/>
      <w:kern w:val="0"/>
      <w:sz w:val="22"/>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14</Pages>
  <Words>1122</Words>
  <Characters>6399</Characters>
  <Lines>53</Lines>
  <Paragraphs>15</Paragraphs>
  <TotalTime>4</TotalTime>
  <ScaleCrop>false</ScaleCrop>
  <LinksUpToDate>false</LinksUpToDate>
  <CharactersWithSpaces>7506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2022-02-18T08:11:00Z</dcterms:created>
  <dc:creator>hjj01</dc:creator>
  <cp:lastModifiedBy>Administrator</cp:lastModifiedBy>
  <dcterms:modified xsi:type="dcterms:W3CDTF">2022-02-18T08:27:39Z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95B43373C40E4BD2B0670611C5D152DA</vt:lpwstr>
  </property>
</Properties>
</file>