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附件1</w:t>
      </w: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37" w:leftChars="113" w:firstLine="400" w:firstLineChars="125"/>
        <w:jc w:val="left"/>
        <w:textAlignment w:val="auto"/>
        <w:rPr>
          <w:rFonts w:hint="default" w:ascii="仿宋" w:hAnsi="仿宋" w:eastAsia="仿宋"/>
          <w:sz w:val="36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2022年福建省“专精特新”中小企业认定奖励资金表</w:t>
      </w:r>
    </w:p>
    <w:p>
      <w:pPr>
        <w:spacing w:line="540" w:lineRule="exact"/>
        <w:ind w:left="6300" w:leftChars="0" w:firstLine="640" w:firstLineChars="0"/>
        <w:jc w:val="left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单位：万元</w:t>
      </w:r>
    </w:p>
    <w:tbl>
      <w:tblPr>
        <w:tblStyle w:val="3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887"/>
        <w:gridCol w:w="1439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88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奖励资金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8" w:type="dxa"/>
            <w:vMerge w:val="continue"/>
          </w:tcPr>
          <w:p>
            <w:pPr>
              <w:spacing w:line="540" w:lineRule="exact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87" w:type="dxa"/>
            <w:vMerge w:val="continue"/>
          </w:tcPr>
          <w:p>
            <w:pPr>
              <w:spacing w:line="540" w:lineRule="exact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省级资金</w:t>
            </w:r>
          </w:p>
        </w:tc>
        <w:tc>
          <w:tcPr>
            <w:tcW w:w="148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市级资金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6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晋安区</w:t>
            </w:r>
          </w:p>
        </w:tc>
        <w:tc>
          <w:tcPr>
            <w:tcW w:w="143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148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8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887" w:type="dxa"/>
            <w:vAlign w:val="center"/>
          </w:tcPr>
          <w:p>
            <w:pPr>
              <w:spacing w:line="540" w:lineRule="exact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福州合创机电设备有限公司</w:t>
            </w:r>
          </w:p>
        </w:tc>
        <w:tc>
          <w:tcPr>
            <w:tcW w:w="143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8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887" w:type="dxa"/>
            <w:vAlign w:val="center"/>
          </w:tcPr>
          <w:p>
            <w:pPr>
              <w:spacing w:line="540" w:lineRule="exact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福州思嘉环保材料科技有限公司</w:t>
            </w:r>
          </w:p>
        </w:tc>
        <w:tc>
          <w:tcPr>
            <w:tcW w:w="143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8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887" w:type="dxa"/>
            <w:vAlign w:val="center"/>
          </w:tcPr>
          <w:p>
            <w:pPr>
              <w:spacing w:line="540" w:lineRule="exact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德艺文化创意集团股份有限公司</w:t>
            </w:r>
          </w:p>
        </w:tc>
        <w:tc>
          <w:tcPr>
            <w:tcW w:w="143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8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887" w:type="dxa"/>
            <w:vAlign w:val="center"/>
          </w:tcPr>
          <w:p>
            <w:pPr>
              <w:spacing w:line="540" w:lineRule="exact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福州大禹电子科技有限公司</w:t>
            </w:r>
          </w:p>
        </w:tc>
        <w:tc>
          <w:tcPr>
            <w:tcW w:w="143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8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887" w:type="dxa"/>
            <w:vAlign w:val="center"/>
          </w:tcPr>
          <w:p>
            <w:pPr>
              <w:spacing w:line="540" w:lineRule="exact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福州海王福药制药有限公司</w:t>
            </w:r>
          </w:p>
        </w:tc>
        <w:tc>
          <w:tcPr>
            <w:tcW w:w="143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8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887" w:type="dxa"/>
            <w:vAlign w:val="center"/>
          </w:tcPr>
          <w:p>
            <w:pPr>
              <w:spacing w:line="540" w:lineRule="exact"/>
              <w:jc w:val="left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福州海王金象中药制药有限公司</w:t>
            </w:r>
          </w:p>
        </w:tc>
        <w:tc>
          <w:tcPr>
            <w:tcW w:w="143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8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vertAlign w:val="baseline"/>
                <w:lang w:val="en-US" w:eastAsia="zh-CN"/>
              </w:rPr>
              <w:t>180</w:t>
            </w:r>
          </w:p>
        </w:tc>
      </w:tr>
    </w:tbl>
    <w:p>
      <w:pPr>
        <w:spacing w:line="540" w:lineRule="exact"/>
        <w:jc w:val="left"/>
        <w:rPr>
          <w:rFonts w:hint="default" w:ascii="仿宋" w:hAnsi="仿宋" w:eastAsia="仿宋"/>
          <w:sz w:val="28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left"/>
        <w:rPr>
          <w:rFonts w:hint="default"/>
          <w:lang w:val="en-US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附件2</w:t>
      </w:r>
    </w:p>
    <w:p>
      <w:pPr>
        <w:spacing w:line="540" w:lineRule="exact"/>
        <w:jc w:val="center"/>
        <w:rPr>
          <w:rFonts w:hint="default" w:ascii="仿宋" w:hAnsi="仿宋" w:eastAsia="仿宋"/>
          <w:sz w:val="36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2022年福建省“专精特新”中小企业认定奖励资金绩效目标表</w:t>
      </w:r>
    </w:p>
    <w:tbl>
      <w:tblPr>
        <w:tblStyle w:val="2"/>
        <w:tblW w:w="9302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25"/>
        <w:gridCol w:w="1275"/>
        <w:gridCol w:w="1680"/>
        <w:gridCol w:w="960"/>
        <w:gridCol w:w="1035"/>
        <w:gridCol w:w="1080"/>
        <w:gridCol w:w="36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2022年省级“专精特新”认定奖励市级配套专项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名称及部门预算编码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区工信局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补助区域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各县（市）区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资金总额：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其中：财政拨款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91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其他资金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总体目标</w:t>
            </w:r>
          </w:p>
        </w:tc>
        <w:tc>
          <w:tcPr>
            <w:tcW w:w="84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落实2022年春节器件工业生产稳定运行保障措施，鼓励企业扩大生产，降低企业生产成本，促进一季度全市工业经济平稳开局。促进企业管理提升，加大“专精特新”中小企业培育力度，促进中小微企业发展。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绩效指标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一级指标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三级指标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产出指标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数量指标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收益企业数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获得奖励资金的企业数量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≧6家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质量指标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收益企业上年度营业收入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获得奖励资金“专精特新”中小企业上年度营业收入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≧5000万元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时效指标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奖励资金下达时间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区财政局、工信局联合下达资金的时间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2022年12月下达资金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成本指标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降低相关企业成本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下达至单家企业的奖励资金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=30万元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经济效益指标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收益企业上年度营业利润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所推荐申报“专精特新”中小企业上年度营业利润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≧0.2万元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社会指标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省“专精特新”中小企业设立研发机构数量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省“专精特新”中小企业自建或与高校或科研联合建立机构数量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≧5家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满意度指标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服务对象满意度指标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受奖对象满意率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获奖对象中给出满意评价的企业数占全部获奖企业数的比率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≧90%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注：指标解释是对绩效目标三级指标进行解释说明，包括计算方法、评分标准、指标出处、具体内容、上年度数值等。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655E4B28"/>
    <w:rsid w:val="1F2A599E"/>
    <w:rsid w:val="3BEE241A"/>
    <w:rsid w:val="4F7F69B0"/>
    <w:rsid w:val="655E4B28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2022-12-28T02:30:00Z</dcterms:created>
  <dc:creator>娜（Lina）</dc:creator>
  <cp:lastModifiedBy>娜（Lina）</cp:lastModifiedBy>
  <dcterms:modified xsi:type="dcterms:W3CDTF">2022-12-28T02:31:37Z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B01A769E3E3A4413AB004F946B6C5B36</vt:lpwstr>
  </property>
</Properties>
</file>