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outlineLvl w:val="0"/>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w:t>
      </w:r>
      <w:r>
        <w:rPr>
          <w:rFonts w:hint="eastAsia" w:ascii="方正小标宋简体" w:eastAsia="方正小标宋简体"/>
          <w:sz w:val="84"/>
          <w:szCs w:val="84"/>
        </w:rPr>
        <w:t>年度</w:t>
      </w:r>
    </w:p>
    <w:p>
      <w:pPr>
        <w:widowControl/>
        <w:jc w:val="center"/>
        <w:outlineLvl w:val="9"/>
        <w:rPr>
          <w:rFonts w:hint="eastAsia" w:ascii="方正小标宋简体" w:eastAsia="方正小标宋简体"/>
          <w:sz w:val="84"/>
          <w:szCs w:val="84"/>
        </w:rPr>
      </w:pPr>
      <w:r>
        <w:rPr>
          <w:rFonts w:hint="eastAsia" w:ascii="方正小标宋简体" w:eastAsia="方正小标宋简体"/>
          <w:sz w:val="84"/>
          <w:szCs w:val="84"/>
        </w:rPr>
        <w:t>综合便民服务中心</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bookmarkStart w:id="0" w:name="_GoBack"/>
      <w:bookmarkEnd w:id="0"/>
    </w:p>
    <w:p>
      <w:pPr>
        <w:pStyle w:val="2"/>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2"/>
        <w:rPr>
          <w:rFonts w:asciiTheme="majorEastAsia" w:hAnsiTheme="majorEastAsia" w:eastAsiaTheme="majorEastAsia"/>
          <w:sz w:val="36"/>
          <w:lang w:eastAsia="zh-CN"/>
        </w:rPr>
      </w:pPr>
    </w:p>
    <w:p>
      <w:pPr>
        <w:pStyle w:val="2"/>
        <w:outlineLvl w:val="0"/>
        <w:rPr>
          <w:rFonts w:ascii="仿宋" w:hAnsi="仿宋" w:eastAsia="仿宋"/>
          <w:sz w:val="36"/>
          <w:lang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b/>
          <w:sz w:val="36"/>
          <w:lang w:eastAsia="zh-CN"/>
        </w:rPr>
        <w:t>4</w:t>
      </w:r>
      <w:r>
        <w:rPr>
          <w:rFonts w:hint="eastAsia" w:ascii="仿宋" w:hAnsi="仿宋" w:eastAsia="仿宋"/>
          <w:sz w:val="36"/>
          <w:lang w:eastAsia="zh-CN"/>
        </w:rPr>
        <w:t>一、部门主要职责</w:t>
      </w:r>
      <w:r>
        <w:rPr>
          <w:rFonts w:ascii="仿宋" w:hAnsi="仿宋" w:eastAsia="仿宋"/>
          <w:sz w:val="36"/>
          <w:lang w:eastAsia="zh-CN"/>
        </w:rPr>
        <w:t>…………………………………</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ascii="仿宋" w:hAnsi="仿宋" w:eastAsia="仿宋"/>
          <w:sz w:val="36"/>
          <w:lang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ascii="仿宋" w:hAnsi="仿宋" w:eastAsia="仿宋"/>
          <w:sz w:val="36"/>
          <w:lang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5</w:t>
      </w:r>
    </w:p>
    <w:p>
      <w:pPr>
        <w:pStyle w:val="2"/>
        <w:outlineLvl w:val="0"/>
        <w:rPr>
          <w:rFonts w:ascii="仿宋" w:hAnsi="仿宋" w:eastAsia="仿宋"/>
          <w:b/>
          <w:sz w:val="36"/>
          <w:lang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2024</w:t>
      </w:r>
      <w:r>
        <w:rPr>
          <w:rFonts w:hint="eastAsia" w:ascii="仿宋" w:hAnsi="仿宋" w:eastAsia="仿宋"/>
          <w:b/>
          <w:sz w:val="36"/>
          <w:lang w:eastAsia="zh-CN"/>
        </w:rPr>
        <w:t>年度部门预算表</w:t>
      </w:r>
      <w:r>
        <w:rPr>
          <w:rFonts w:ascii="仿宋" w:hAnsi="仿宋" w:eastAsia="仿宋"/>
          <w:sz w:val="36"/>
          <w:lang w:eastAsia="zh-CN"/>
        </w:rPr>
        <w:t>…………………</w:t>
      </w:r>
      <w:r>
        <w:rPr>
          <w:rFonts w:ascii="仿宋" w:hAnsi="仿宋" w:eastAsia="仿宋"/>
          <w:sz w:val="36"/>
          <w:lang w:eastAsia="zh-CN"/>
        </w:rPr>
        <w:t>…</w:t>
      </w:r>
      <w:r>
        <w:rPr>
          <w:rFonts w:ascii="仿宋" w:hAnsi="仿宋" w:eastAsia="仿宋"/>
          <w:sz w:val="36"/>
          <w:lang w:eastAsia="zh-CN"/>
        </w:rPr>
        <w:t>…</w:t>
      </w:r>
      <w:r>
        <w:rPr>
          <w:rFonts w:hint="eastAsia" w:ascii="仿宋" w:hAnsi="仿宋" w:eastAsia="仿宋"/>
          <w:sz w:val="36"/>
          <w:lang w:val="en-US" w:eastAsia="zh-CN"/>
        </w:rPr>
        <w:t>7</w:t>
      </w:r>
    </w:p>
    <w:p>
      <w:pPr>
        <w:pStyle w:val="2"/>
        <w:ind w:firstLine="360" w:firstLineChars="100"/>
        <w:rPr>
          <w:rFonts w:ascii="仿宋" w:hAnsi="仿宋" w:eastAsia="仿宋"/>
          <w:sz w:val="36"/>
          <w:lang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8</w:t>
      </w:r>
    </w:p>
    <w:p>
      <w:pPr>
        <w:pStyle w:val="2"/>
        <w:ind w:firstLine="360" w:firstLineChars="100"/>
        <w:rPr>
          <w:rFonts w:ascii="仿宋" w:hAnsi="仿宋" w:eastAsia="仿宋"/>
          <w:sz w:val="36"/>
          <w:lang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10</w:t>
      </w:r>
    </w:p>
    <w:p>
      <w:pPr>
        <w:pStyle w:val="2"/>
        <w:ind w:firstLine="360" w:firstLineChars="100"/>
        <w:rPr>
          <w:rFonts w:ascii="仿宋" w:hAnsi="仿宋" w:eastAsia="仿宋"/>
          <w:sz w:val="36"/>
          <w:lang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12</w:t>
      </w:r>
    </w:p>
    <w:p>
      <w:pPr>
        <w:pStyle w:val="2"/>
        <w:ind w:firstLine="360" w:firstLineChars="100"/>
        <w:rPr>
          <w:rFonts w:ascii="仿宋" w:hAnsi="仿宋" w:eastAsia="仿宋"/>
          <w:sz w:val="36"/>
          <w:lang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14</w:t>
      </w:r>
    </w:p>
    <w:p>
      <w:pPr>
        <w:pStyle w:val="2"/>
        <w:ind w:firstLine="360" w:firstLineChars="100"/>
        <w:rPr>
          <w:rFonts w:ascii="仿宋" w:hAnsi="仿宋" w:eastAsia="仿宋"/>
          <w:sz w:val="36"/>
          <w:lang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15</w:t>
      </w:r>
    </w:p>
    <w:p>
      <w:pPr>
        <w:pStyle w:val="2"/>
        <w:ind w:firstLine="360" w:firstLineChars="100"/>
        <w:rPr>
          <w:rFonts w:ascii="仿宋" w:hAnsi="仿宋" w:eastAsia="仿宋"/>
          <w:sz w:val="36"/>
          <w:lang w:eastAsia="zh-CN"/>
        </w:rPr>
      </w:pPr>
      <w:r>
        <w:rPr>
          <w:rFonts w:hint="eastAsia" w:ascii="仿宋" w:hAnsi="仿宋" w:eastAsia="仿宋"/>
          <w:sz w:val="36"/>
          <w:lang w:eastAsia="zh-CN"/>
        </w:rPr>
        <w:t>六、政府性基金</w:t>
      </w:r>
      <w:r>
        <w:rPr>
          <w:rFonts w:hint="eastAsia" w:ascii="仿宋" w:hAnsi="仿宋" w:eastAsia="仿宋"/>
          <w:sz w:val="36"/>
          <w:lang w:eastAsia="zh-CN"/>
        </w:rPr>
        <w:t>预算</w:t>
      </w:r>
      <w:r>
        <w:rPr>
          <w:rFonts w:hint="eastAsia" w:ascii="仿宋" w:hAnsi="仿宋" w:eastAsia="仿宋"/>
          <w:sz w:val="36"/>
          <w:lang w:eastAsia="zh-CN"/>
        </w:rPr>
        <w:t>拨款支出预算表</w:t>
      </w:r>
      <w:r>
        <w:rPr>
          <w:rFonts w:ascii="仿宋" w:hAnsi="仿宋" w:eastAsia="仿宋"/>
          <w:sz w:val="36"/>
          <w:lang w:eastAsia="zh-CN"/>
        </w:rPr>
        <w:t>……………</w:t>
      </w:r>
      <w:r>
        <w:rPr>
          <w:rFonts w:hint="eastAsia" w:ascii="仿宋" w:hAnsi="仿宋" w:eastAsia="仿宋"/>
          <w:sz w:val="36"/>
          <w:lang w:val="en-US" w:eastAsia="zh-CN"/>
        </w:rPr>
        <w:t>16</w:t>
      </w:r>
    </w:p>
    <w:p>
      <w:pPr>
        <w:pStyle w:val="2"/>
        <w:ind w:firstLine="360" w:firstLineChars="100"/>
        <w:rPr>
          <w:rFonts w:ascii="仿宋" w:hAnsi="仿宋" w:eastAsia="仿宋"/>
          <w:sz w:val="36"/>
          <w:lang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17</w:t>
      </w:r>
    </w:p>
    <w:p>
      <w:pPr>
        <w:pStyle w:val="2"/>
        <w:ind w:firstLine="360" w:firstLineChars="100"/>
        <w:rPr>
          <w:rFonts w:ascii="仿宋" w:hAnsi="仿宋" w:eastAsia="仿宋"/>
          <w:sz w:val="36"/>
          <w:lang w:eastAsia="zh-CN"/>
        </w:rPr>
      </w:pPr>
      <w:r>
        <w:rPr>
          <w:rFonts w:hint="eastAsia" w:ascii="仿宋" w:hAnsi="仿宋" w:eastAsia="仿宋"/>
          <w:sz w:val="36"/>
          <w:lang w:eastAsia="zh-CN"/>
        </w:rPr>
        <w:t>八</w:t>
      </w:r>
      <w:r>
        <w:rPr>
          <w:rFonts w:hint="eastAsia" w:ascii="仿宋" w:hAnsi="仿宋" w:eastAsia="仿宋"/>
          <w:sz w:val="36"/>
          <w:lang w:eastAsia="zh-CN"/>
        </w:rPr>
        <w:t>、一般公共预算支出经济分类情况表</w:t>
      </w:r>
      <w:r>
        <w:rPr>
          <w:rFonts w:ascii="仿宋" w:hAnsi="仿宋" w:eastAsia="仿宋"/>
          <w:sz w:val="36"/>
          <w:lang w:eastAsia="zh-CN"/>
        </w:rPr>
        <w:t>…………</w:t>
      </w:r>
      <w:r>
        <w:rPr>
          <w:rFonts w:hint="eastAsia" w:ascii="仿宋" w:hAnsi="仿宋" w:eastAsia="仿宋"/>
          <w:sz w:val="36"/>
          <w:lang w:val="en-US" w:eastAsia="zh-CN"/>
        </w:rPr>
        <w:t>18</w:t>
      </w:r>
    </w:p>
    <w:p>
      <w:pPr>
        <w:pStyle w:val="2"/>
        <w:ind w:firstLine="360" w:firstLineChars="100"/>
        <w:rPr>
          <w:rFonts w:ascii="仿宋" w:hAnsi="仿宋" w:eastAsia="仿宋"/>
          <w:sz w:val="36"/>
          <w:lang w:eastAsia="zh-CN"/>
        </w:rPr>
      </w:pPr>
      <w:r>
        <w:rPr>
          <w:rFonts w:hint="eastAsia" w:ascii="仿宋" w:hAnsi="仿宋" w:eastAsia="仿宋"/>
          <w:sz w:val="36"/>
          <w:lang w:eastAsia="zh-CN"/>
        </w:rPr>
        <w:t>九</w:t>
      </w:r>
      <w:r>
        <w:rPr>
          <w:rFonts w:hint="eastAsia" w:ascii="仿宋" w:hAnsi="仿宋" w:eastAsia="仿宋"/>
          <w:sz w:val="36"/>
          <w:lang w:eastAsia="zh-CN"/>
        </w:rPr>
        <w:t>、一般公共预算基本支出经济分类情况表</w:t>
      </w:r>
      <w:r>
        <w:rPr>
          <w:rFonts w:ascii="仿宋" w:hAnsi="仿宋" w:eastAsia="仿宋"/>
          <w:sz w:val="36"/>
          <w:lang w:eastAsia="zh-CN"/>
        </w:rPr>
        <w:t>……</w:t>
      </w:r>
      <w:r>
        <w:rPr>
          <w:rFonts w:hint="eastAsia" w:ascii="仿宋" w:hAnsi="仿宋" w:eastAsia="仿宋"/>
          <w:sz w:val="36"/>
          <w:lang w:val="en-US" w:eastAsia="zh-CN"/>
        </w:rPr>
        <w:t>19</w:t>
      </w:r>
    </w:p>
    <w:p>
      <w:pPr>
        <w:pStyle w:val="2"/>
        <w:ind w:firstLine="360" w:firstLineChars="100"/>
        <w:rPr>
          <w:rFonts w:ascii="仿宋" w:hAnsi="仿宋" w:eastAsia="仿宋"/>
          <w:sz w:val="36"/>
          <w:lang w:eastAsia="zh-CN"/>
        </w:rPr>
      </w:pPr>
      <w:r>
        <w:rPr>
          <w:rFonts w:hint="eastAsia" w:ascii="仿宋" w:hAnsi="仿宋" w:eastAsia="仿宋"/>
          <w:sz w:val="36"/>
          <w:lang w:eastAsia="zh-CN"/>
        </w:rPr>
        <w:t>十</w:t>
      </w:r>
      <w:r>
        <w:rPr>
          <w:rFonts w:hint="eastAsia" w:ascii="仿宋" w:hAnsi="仿宋" w:eastAsia="仿宋"/>
          <w:sz w:val="36"/>
          <w:lang w:eastAsia="zh-CN"/>
        </w:rPr>
        <w:t>、一般公共预算“三公”经费支出预算表</w:t>
      </w:r>
      <w:r>
        <w:rPr>
          <w:rFonts w:ascii="仿宋" w:hAnsi="仿宋" w:eastAsia="仿宋"/>
          <w:sz w:val="36"/>
          <w:lang w:eastAsia="zh-CN"/>
        </w:rPr>
        <w:t>……</w:t>
      </w:r>
      <w:r>
        <w:rPr>
          <w:rFonts w:hint="eastAsia" w:ascii="仿宋" w:hAnsi="仿宋" w:eastAsia="仿宋"/>
          <w:sz w:val="36"/>
          <w:lang w:val="en-US" w:eastAsia="zh-CN"/>
        </w:rPr>
        <w:t>23</w:t>
      </w:r>
    </w:p>
    <w:p>
      <w:pPr>
        <w:widowControl/>
        <w:outlineLvl w:val="0"/>
        <w:rPr>
          <w:rFonts w:ascii="仿宋" w:hAnsi="仿宋" w:eastAsia="仿宋"/>
          <w:b/>
          <w:sz w:val="40"/>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eastAsia="zh-CN"/>
        </w:rPr>
        <w:t>2</w:t>
      </w:r>
      <w:r>
        <w:rPr>
          <w:rFonts w:hint="eastAsia" w:ascii="仿宋" w:hAnsi="仿宋" w:eastAsia="仿宋" w:cs="仿宋_GB2312"/>
          <w:kern w:val="0"/>
          <w:sz w:val="32"/>
          <w:szCs w:val="32"/>
          <w:lang w:val="en-US" w:eastAsia="zh-CN"/>
        </w:rPr>
        <w:t>024</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24</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25</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25</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五</w:t>
      </w:r>
      <w:r>
        <w:rPr>
          <w:rFonts w:hint="eastAsia" w:ascii="仿宋" w:hAnsi="仿宋" w:eastAsia="仿宋" w:cs="Times New Roman"/>
          <w:kern w:val="0"/>
          <w:sz w:val="36"/>
          <w:szCs w:val="20"/>
        </w:rPr>
        <w:t>、</w:t>
      </w:r>
      <w:r>
        <w:rPr>
          <w:rFonts w:hint="eastAsia" w:ascii="仿宋" w:hAnsi="仿宋" w:eastAsia="仿宋" w:cs="Times New Roman"/>
          <w:kern w:val="0"/>
          <w:sz w:val="36"/>
          <w:szCs w:val="20"/>
        </w:rPr>
        <w:t>一般公共预算</w:t>
      </w:r>
      <w:r>
        <w:rPr>
          <w:rFonts w:hint="eastAsia" w:ascii="仿宋" w:hAnsi="仿宋" w:eastAsia="仿宋" w:cs="Times New Roman"/>
          <w:kern w:val="0"/>
          <w:sz w:val="36"/>
          <w:szCs w:val="20"/>
        </w:rPr>
        <w:t>拨款基本支出情况</w:t>
      </w:r>
      <w:r>
        <w:rPr>
          <w:rFonts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六</w:t>
      </w:r>
      <w:r>
        <w:rPr>
          <w:rFonts w:hint="eastAsia" w:ascii="仿宋" w:hAnsi="仿宋" w:eastAsia="仿宋" w:cs="Times New Roman"/>
          <w:kern w:val="0"/>
          <w:sz w:val="36"/>
          <w:szCs w:val="20"/>
        </w:rPr>
        <w:t>、一般公共预算“三公”经费支出情况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七</w:t>
      </w:r>
      <w:r>
        <w:rPr>
          <w:rFonts w:hint="eastAsia" w:ascii="仿宋" w:hAnsi="仿宋" w:eastAsia="仿宋" w:cs="Times New Roman"/>
          <w:kern w:val="0"/>
          <w:sz w:val="36"/>
          <w:szCs w:val="20"/>
        </w:rPr>
        <w:t>、预算绩效</w:t>
      </w:r>
      <w:r>
        <w:rPr>
          <w:rFonts w:hint="eastAsia" w:ascii="仿宋" w:hAnsi="仿宋" w:eastAsia="仿宋" w:cs="Times New Roman"/>
          <w:kern w:val="0"/>
          <w:sz w:val="36"/>
          <w:szCs w:val="20"/>
        </w:rPr>
        <w:t>目标</w:t>
      </w:r>
      <w:r>
        <w:rPr>
          <w:rFonts w:hint="eastAsia" w:ascii="仿宋" w:hAnsi="仿宋" w:eastAsia="仿宋" w:cs="Times New Roman"/>
          <w:kern w:val="0"/>
          <w:sz w:val="36"/>
          <w:szCs w:val="20"/>
        </w:rPr>
        <w:t>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八</w:t>
      </w:r>
      <w:r>
        <w:rPr>
          <w:rFonts w:hint="eastAsia" w:ascii="仿宋" w:hAnsi="仿宋" w:eastAsia="仿宋" w:cs="Times New Roman"/>
          <w:kern w:val="0"/>
          <w:sz w:val="36"/>
          <w:szCs w:val="20"/>
        </w:rPr>
        <w:t>、其他重要事项说明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pStyle w:val="2"/>
        <w:spacing w:before="3"/>
        <w:rPr>
          <w:rFonts w:ascii="仿宋" w:hAnsi="仿宋" w:eastAsia="仿宋"/>
          <w:sz w:val="26"/>
          <w:lang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29</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2"/>
        <w:rPr>
          <w:rFonts w:ascii="黑体" w:hAnsi="黑体" w:eastAsia="黑体"/>
          <w:sz w:val="36"/>
          <w:szCs w:val="36"/>
          <w:lang w:eastAsia="zh-CN"/>
        </w:rPr>
      </w:pPr>
    </w:p>
    <w:p>
      <w:pPr>
        <w:pStyle w:val="2"/>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2"/>
        <w:outlineLvl w:val="1"/>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综合便民服务中心</w:t>
      </w:r>
      <w:r>
        <w:rPr>
          <w:rFonts w:hint="eastAsia" w:ascii="仿宋" w:hAnsi="仿宋" w:eastAsia="仿宋"/>
          <w:sz w:val="32"/>
          <w:szCs w:val="32"/>
        </w:rPr>
        <w:t>部门的主要职责是：承担综合便民服务中心窗口的日常运行管理，为企业法人、党组织以及党员群众办事提供政策咨询、企业服务、便民生活、投诉受理等服务工作;指导协调进驻(延伸)综合便民服务中心集中办理的行政审批和公共服务事项，具体梳理编制乡镇权责清单;负责辖区内社会治安和社会稳定的研判、监测;协助做好工会、共青团、妇联、计生协、残联、工商联等群团组织日常事务性工作。</w:t>
      </w:r>
    </w:p>
    <w:p>
      <w:pPr>
        <w:pStyle w:val="2"/>
        <w:outlineLvl w:val="1"/>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lang w:eastAsia="zh-CN"/>
        </w:rPr>
        <w:t>综合便民服务中心</w:t>
      </w:r>
      <w:r>
        <w:rPr>
          <w:rFonts w:hint="eastAsia" w:ascii="仿宋" w:hAnsi="仿宋" w:eastAsia="仿宋"/>
          <w:sz w:val="32"/>
          <w:szCs w:val="32"/>
        </w:rPr>
        <w:t>部门包括</w:t>
      </w:r>
      <w:r>
        <w:rPr>
          <w:rFonts w:hint="eastAsia" w:ascii="仿宋" w:hAnsi="仿宋" w:eastAsia="仿宋" w:cs="仿宋_GB2312"/>
          <w:sz w:val="32"/>
          <w:szCs w:val="32"/>
          <w:lang w:val="en-US" w:eastAsia="zh-CN"/>
        </w:rPr>
        <w:t>0</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1</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2024</w:t>
      </w:r>
      <w:r>
        <w:rPr>
          <w:rFonts w:hint="eastAsia" w:ascii="仿宋" w:hAnsi="仿宋" w:eastAsia="仿宋"/>
          <w:sz w:val="32"/>
          <w:szCs w:val="32"/>
        </w:rPr>
        <w:t>年部门预算编制范围的单位详细情况见下表:</w:t>
      </w:r>
    </w:p>
    <w:tbl>
      <w:tblPr>
        <w:tblStyle w:val="6"/>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鼓山镇综合便民服务中心</w:t>
            </w:r>
          </w:p>
        </w:tc>
        <w:tc>
          <w:tcPr>
            <w:tcW w:w="2189"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事业</w:t>
            </w:r>
          </w:p>
        </w:tc>
        <w:tc>
          <w:tcPr>
            <w:tcW w:w="2087"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2024</w:t>
      </w:r>
      <w:r>
        <w:rPr>
          <w:rFonts w:hint="eastAsia" w:ascii="仿宋" w:hAnsi="仿宋" w:eastAsia="仿宋"/>
          <w:sz w:val="32"/>
          <w:szCs w:val="32"/>
        </w:rPr>
        <w:t>年，</w:t>
      </w:r>
      <w:r>
        <w:rPr>
          <w:rFonts w:hint="eastAsia" w:ascii="仿宋" w:hAnsi="仿宋" w:eastAsia="仿宋" w:cs="仿宋_GB2312"/>
          <w:sz w:val="32"/>
          <w:szCs w:val="32"/>
          <w:lang w:eastAsia="zh-CN"/>
        </w:rPr>
        <w:t>综合便民服务中心</w:t>
      </w:r>
      <w:r>
        <w:rPr>
          <w:rFonts w:hint="eastAsia" w:ascii="仿宋" w:hAnsi="仿宋" w:eastAsia="仿宋"/>
          <w:sz w:val="32"/>
          <w:szCs w:val="32"/>
        </w:rPr>
        <w:t>部门主要任务是：承担基层党建、村居建设、科技教育、文体旅游、卫生健康、医疗保障、劳动就业、社会保障、民政救济、优抚安置、民族宗教、自然资源、生态保护、社会治理、退役军人服务等领域相关事务性工作，指导村(社区)做好相关工作。围绕上述任务，重点抓好以下工作：</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全市首家“医养结合”型鼓山镇居家社区养老服务中心开业，通过“</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+N”全新养老模式，成为社区居家养老服务新支点。</w:t>
      </w:r>
    </w:p>
    <w:p>
      <w:pPr>
        <w:ind w:firstLine="640" w:firstLineChars="200"/>
        <w:rPr>
          <w:rFonts w:ascii="仿宋" w:hAnsi="仿宋" w:eastAsia="仿宋" w:cs="仿宋_GB2312"/>
          <w:sz w:val="32"/>
          <w:szCs w:val="32"/>
        </w:rPr>
      </w:pPr>
      <w:r>
        <w:rPr>
          <w:rFonts w:hint="eastAsia" w:ascii="仿宋" w:hAnsi="仿宋" w:eastAsia="仿宋"/>
          <w:sz w:val="32"/>
          <w:szCs w:val="32"/>
        </w:rPr>
        <w:t>（二）</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全区最大老旧小区改造金晖新村项目启动，包含11项重点改造内容，新增100多个泊位。</w:t>
      </w:r>
    </w:p>
    <w:p>
      <w:pPr>
        <w:ind w:firstLine="640" w:firstLineChars="200"/>
        <w:rPr>
          <w:rFonts w:ascii="仿宋" w:hAnsi="仿宋" w:eastAsia="仿宋" w:cs="仿宋_GB2312"/>
          <w:sz w:val="32"/>
          <w:szCs w:val="32"/>
        </w:rPr>
      </w:pPr>
    </w:p>
    <w:p>
      <w:pPr>
        <w:pStyle w:val="2"/>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outlineLvl w:val="0"/>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6"/>
        <w:tblW w:w="8789" w:type="dxa"/>
        <w:tblInd w:w="-34" w:type="dxa"/>
        <w:tblLayout w:type="autofit"/>
        <w:tblCellMar>
          <w:top w:w="0" w:type="dxa"/>
          <w:left w:w="108" w:type="dxa"/>
          <w:bottom w:w="0" w:type="dxa"/>
          <w:right w:w="108" w:type="dxa"/>
        </w:tblCellMar>
      </w:tblPr>
      <w:tblGrid>
        <w:gridCol w:w="2977"/>
        <w:gridCol w:w="1276"/>
        <w:gridCol w:w="3260"/>
        <w:gridCol w:w="1276"/>
        <w:tblGridChange w:id="0">
          <w:tblGrid>
            <w:gridCol w:w="127"/>
            <w:gridCol w:w="238"/>
            <w:gridCol w:w="34"/>
            <w:gridCol w:w="93"/>
            <w:gridCol w:w="15"/>
            <w:gridCol w:w="2470"/>
            <w:gridCol w:w="1276"/>
            <w:gridCol w:w="3260"/>
            <w:gridCol w:w="1276"/>
          </w:tblGrid>
        </w:tblGridChange>
      </w:tblGrid>
      <w:tr>
        <w:tblPrEx>
          <w:tblCellMar>
            <w:top w:w="0" w:type="dxa"/>
            <w:left w:w="108" w:type="dxa"/>
            <w:bottom w:w="0" w:type="dxa"/>
            <w:right w:w="108" w:type="dxa"/>
          </w:tblCellMar>
        </w:tblPrEx>
        <w:trPr>
          <w:wBefore w:w="0" w:type="auto"/>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wBefore w:w="0" w:type="auto"/>
          <w:wAfter w:w="0" w:type="auto"/>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wBefore w:w="0" w:type="auto"/>
          <w:wAfter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331.5</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203.61</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74.08</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21.93</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31.88</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331.5</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331.5</w:t>
            </w:r>
            <w:r>
              <w:rPr>
                <w:rFonts w:hint="eastAsia" w:ascii="宋体" w:hAnsi="宋体" w:eastAsia="宋体" w:cs="宋体"/>
                <w:b/>
                <w:kern w:val="0"/>
                <w:sz w:val="22"/>
              </w:rPr>
              <w:t>　</w:t>
            </w:r>
          </w:p>
        </w:tc>
      </w:tr>
    </w:tbl>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二、收入预算总表</w:t>
      </w:r>
    </w:p>
    <w:tbl>
      <w:tblPr>
        <w:tblStyle w:val="6"/>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wAfter w:w="0" w:type="auto"/>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wAfter w:w="0" w:type="auto"/>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331.5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331.5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商贸事务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2011350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事业单位离退休</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21.03</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10.52</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12.28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12.28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9.65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9.65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6.43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6.43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2210203</w:t>
            </w:r>
          </w:p>
        </w:tc>
        <w:tc>
          <w:tcPr>
            <w:tcW w:w="12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购房补贴</w:t>
            </w:r>
          </w:p>
        </w:tc>
        <w:tc>
          <w:tcPr>
            <w:tcW w:w="1017"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4.24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4.24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r>
    </w:tbl>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三、支出预算总表</w:t>
      </w:r>
    </w:p>
    <w:tbl>
      <w:tblPr>
        <w:tblStyle w:val="6"/>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Change w:id="1">
          <w:tblGrid>
            <w:gridCol w:w="1291"/>
            <w:gridCol w:w="142"/>
            <w:gridCol w:w="2268"/>
            <w:gridCol w:w="850"/>
            <w:gridCol w:w="709"/>
            <w:gridCol w:w="850"/>
            <w:gridCol w:w="709"/>
            <w:gridCol w:w="850"/>
            <w:gridCol w:w="1560"/>
            <w:gridCol w:w="1559"/>
            <w:gridCol w:w="1559"/>
            <w:gridCol w:w="1559"/>
          </w:tblGrid>
        </w:tblGridChange>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wAfter w:w="0" w:type="auto"/>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331.5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331.5</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203.61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203.61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20113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商贸事务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203.61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203.61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2011350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203.61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203.61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74.08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74.08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74.08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74.08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事业单位离退休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42.53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42.53</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21.03</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10.52</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10.52</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21.93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21.93</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21.93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21.93</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12.28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12.28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9.65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9.65</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31.88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31.88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31.88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31.88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6.43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6.43</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2210203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4.24</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4.24</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四、财政拨款收支预算总表</w:t>
      </w:r>
    </w:p>
    <w:tbl>
      <w:tblPr>
        <w:tblStyle w:val="6"/>
        <w:tblW w:w="8648" w:type="dxa"/>
        <w:tblInd w:w="-34" w:type="dxa"/>
        <w:tblLayout w:type="autofit"/>
        <w:tblCellMar>
          <w:top w:w="0" w:type="dxa"/>
          <w:left w:w="108" w:type="dxa"/>
          <w:bottom w:w="0" w:type="dxa"/>
          <w:right w:w="108" w:type="dxa"/>
        </w:tblCellMar>
      </w:tblPr>
      <w:tblGrid>
        <w:gridCol w:w="2977"/>
        <w:gridCol w:w="1276"/>
        <w:gridCol w:w="3119"/>
        <w:gridCol w:w="1276"/>
        <w:tblGridChange w:id="2">
          <w:tblGrid>
            <w:gridCol w:w="238"/>
            <w:gridCol w:w="2739"/>
            <w:gridCol w:w="238"/>
            <w:gridCol w:w="1038"/>
            <w:gridCol w:w="3119"/>
            <w:gridCol w:w="1276"/>
          </w:tblGrid>
        </w:tblGridChange>
      </w:tblGrid>
      <w:tr>
        <w:tblPrEx>
          <w:tblCellMar>
            <w:top w:w="0" w:type="dxa"/>
            <w:left w:w="108" w:type="dxa"/>
            <w:bottom w:w="0" w:type="dxa"/>
            <w:right w:w="108" w:type="dxa"/>
          </w:tblCellMar>
        </w:tblPrEx>
        <w:trPr>
          <w:wBefore w:w="0" w:type="auto"/>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wBefore w:w="0" w:type="auto"/>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wBefore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331.5</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203.61</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74.08</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21.93</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31.88</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331.5</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tabs>
                <w:tab w:val="left" w:pos="378"/>
                <w:tab w:val="right" w:pos="1400"/>
              </w:tabs>
              <w:spacing w:line="240" w:lineRule="auto"/>
              <w:jc w:val="left"/>
              <w:rPr>
                <w:rFonts w:ascii="宋体" w:hAnsi="宋体" w:eastAsia="宋体" w:cs="宋体"/>
                <w:b/>
                <w:kern w:val="0"/>
                <w:sz w:val="22"/>
              </w:rPr>
            </w:pPr>
            <w:r>
              <w:rPr>
                <w:rFonts w:hint="eastAsia" w:ascii="宋体" w:hAnsi="宋体" w:eastAsia="宋体" w:cs="宋体"/>
                <w:b/>
                <w:kern w:val="0"/>
                <w:sz w:val="22"/>
                <w:lang w:eastAsia="zh-CN"/>
              </w:rPr>
              <w:tab/>
            </w:r>
            <w:r>
              <w:rPr>
                <w:rFonts w:hint="eastAsia" w:ascii="宋体" w:hAnsi="宋体" w:eastAsia="宋体" w:cs="宋体"/>
                <w:b/>
                <w:kern w:val="0"/>
                <w:sz w:val="22"/>
                <w:lang w:val="en-US" w:eastAsia="zh-CN"/>
              </w:rPr>
              <w:t>331.5</w:t>
            </w:r>
            <w:r>
              <w:rPr>
                <w:rFonts w:hint="eastAsia" w:ascii="宋体" w:hAnsi="宋体" w:eastAsia="宋体" w:cs="宋体"/>
                <w:b/>
                <w:kern w:val="0"/>
                <w:sz w:val="22"/>
                <w:lang w:eastAsia="zh-CN"/>
              </w:rPr>
              <w:tab/>
            </w:r>
            <w:r>
              <w:rPr>
                <w:rFonts w:hint="eastAsia" w:ascii="宋体" w:hAnsi="宋体" w:eastAsia="宋体" w:cs="宋体"/>
                <w:b/>
                <w:kern w:val="0"/>
                <w:sz w:val="22"/>
              </w:rPr>
              <w:t>　</w:t>
            </w:r>
          </w:p>
        </w:tc>
      </w:tr>
    </w:tbl>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五、一般公共预算拨款支出预算表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Change w:id="3">
          <w:tblGrid>
            <w:gridCol w:w="93"/>
            <w:gridCol w:w="1056"/>
            <w:gridCol w:w="567"/>
            <w:gridCol w:w="1701"/>
            <w:gridCol w:w="93"/>
            <w:gridCol w:w="191"/>
            <w:gridCol w:w="1559"/>
            <w:gridCol w:w="1559"/>
            <w:gridCol w:w="1418"/>
          </w:tblGrid>
        </w:tblGridChange>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wAfter w:w="0" w:type="auto"/>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wAfter w:w="0" w:type="auto"/>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wAfter w:w="0" w:type="auto"/>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331.5</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331.5</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商贸事务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2011350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203.61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74.08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事业单位离退休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21.03</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10.52</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21.93</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12.28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12.28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9.65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9.65</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31.88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6.43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6.43</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4.24</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4.24</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六、政府性基金</w:t>
      </w:r>
      <w:r>
        <w:rPr>
          <w:rFonts w:hint="eastAsia" w:ascii="黑体" w:hAnsi="黑体" w:eastAsia="黑体"/>
          <w:sz w:val="32"/>
          <w:szCs w:val="32"/>
        </w:rPr>
        <w:t>预算</w:t>
      </w:r>
      <w:r>
        <w:rPr>
          <w:rFonts w:hint="eastAsia" w:ascii="黑体" w:hAnsi="黑体" w:eastAsia="黑体"/>
          <w:sz w:val="32"/>
          <w:szCs w:val="32"/>
        </w:rPr>
        <w:t>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七、国有资本经营预算拨款支出预算表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rPr>
        <w:t>、一般公共预算支出经济分类情况表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331.50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262.49</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26.48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42.53</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rPr>
        <w:t>、一般公共预算基本支出经济分类情况表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年度一般公共预算基本支出经济分类情况表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331.50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262.49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77.37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20.76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45.69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43.98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21.03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10.52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9.65</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0.28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21.21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26.48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21.38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2"/>
                <w:sz w:val="18"/>
                <w:szCs w:val="18"/>
                <w:u w:val="none"/>
              </w:rPr>
            </w:pPr>
            <w:r>
              <w:rPr>
                <w:rFonts w:ascii="宋体" w:hAnsi="宋体" w:eastAsia="宋体" w:cs="宋体"/>
                <w:i w:val="0"/>
                <w:iCs w:val="0"/>
                <w:color w:val="000000"/>
                <w:kern w:val="0"/>
                <w:sz w:val="18"/>
                <w:szCs w:val="18"/>
                <w:u w:val="none"/>
                <w:lang w:val="en-US" w:eastAsia="zh-CN" w:bidi="ar"/>
              </w:rPr>
              <w:t>2.07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2.76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0.27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42.53</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2"/>
                <w:sz w:val="18"/>
                <w:szCs w:val="18"/>
                <w:u w:val="none"/>
              </w:rPr>
            </w:pPr>
            <w:r>
              <w:rPr>
                <w:rFonts w:ascii="宋体" w:hAnsi="宋体" w:eastAsia="宋体" w:cs="宋体"/>
                <w:i w:val="0"/>
                <w:iCs w:val="0"/>
                <w:color w:val="000000"/>
                <w:kern w:val="0"/>
                <w:sz w:val="18"/>
                <w:szCs w:val="18"/>
                <w:u w:val="none"/>
                <w:lang w:val="en-US" w:eastAsia="zh-CN" w:bidi="ar"/>
              </w:rPr>
              <w:t>42.53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rPr>
        <w:t>、一般公共预算“三公”经费支出预算表</w:t>
      </w:r>
    </w:p>
    <w:tbl>
      <w:tblPr>
        <w:tblStyle w:val="6"/>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eastAsia="zh-CN"/>
              </w:rPr>
              <w:t>2</w:t>
            </w:r>
            <w:r>
              <w:rPr>
                <w:rFonts w:hint="eastAsia" w:ascii="方正小标宋简体" w:hAnsi="黑体" w:eastAsia="方正小标宋简体" w:cs="宋体"/>
                <w:kern w:val="0"/>
                <w:sz w:val="32"/>
                <w:szCs w:val="32"/>
                <w:lang w:val="en-US" w:eastAsia="zh-CN"/>
              </w:rPr>
              <w:t>024</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bl>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1"/>
          <w:szCs w:val="21"/>
        </w:rPr>
        <w:t>备注：</w:t>
      </w:r>
      <w:r>
        <w:rPr>
          <w:rFonts w:hint="eastAsia" w:ascii="楷体" w:hAnsi="楷体" w:eastAsia="楷体" w:cs="Times New Roman"/>
          <w:kern w:val="0"/>
          <w:szCs w:val="21"/>
        </w:rPr>
        <w:t>本</w:t>
      </w:r>
      <w:r>
        <w:rPr>
          <w:rFonts w:hint="eastAsia" w:ascii="楷体" w:hAnsi="楷体" w:eastAsia="楷体" w:cs="Times New Roman"/>
          <w:kern w:val="0"/>
          <w:sz w:val="21"/>
          <w:szCs w:val="21"/>
        </w:rPr>
        <w:t>部门</w:t>
      </w:r>
      <w:r>
        <w:rPr>
          <w:rFonts w:hint="eastAsia" w:ascii="楷体" w:hAnsi="楷体" w:eastAsia="楷体" w:cs="Times New Roman"/>
          <w:kern w:val="0"/>
          <w:sz w:val="21"/>
          <w:szCs w:val="21"/>
          <w:lang w:eastAsia="zh-CN"/>
        </w:rPr>
        <w:t>2</w:t>
      </w:r>
      <w:r>
        <w:rPr>
          <w:rFonts w:hint="eastAsia" w:ascii="楷体" w:hAnsi="楷体" w:eastAsia="楷体" w:cs="Times New Roman"/>
          <w:kern w:val="0"/>
          <w:sz w:val="21"/>
          <w:szCs w:val="21"/>
          <w:lang w:val="en-US" w:eastAsia="zh-CN"/>
        </w:rPr>
        <w:t>024</w:t>
      </w:r>
      <w:r>
        <w:rPr>
          <w:rFonts w:hint="eastAsia" w:ascii="楷体" w:hAnsi="楷体" w:eastAsia="楷体" w:cs="Times New Roman"/>
          <w:kern w:val="0"/>
          <w:sz w:val="21"/>
          <w:szCs w:val="21"/>
        </w:rPr>
        <w:t>年度</w:t>
      </w:r>
      <w:r>
        <w:rPr>
          <w:rFonts w:hint="eastAsia" w:ascii="楷体" w:hAnsi="楷体" w:eastAsia="楷体"/>
        </w:rPr>
        <w:t>没有</w:t>
      </w:r>
      <w:r>
        <w:rPr>
          <w:rFonts w:hint="eastAsia" w:ascii="楷体" w:hAnsi="楷体" w:eastAsia="楷体" w:cs="Times New Roman"/>
          <w:kern w:val="0"/>
          <w:szCs w:val="21"/>
        </w:rPr>
        <w:t>一般公共预算安排的</w:t>
      </w:r>
      <w:r>
        <w:rPr>
          <w:rFonts w:hint="eastAsia" w:ascii="楷体" w:hAnsi="楷体" w:eastAsia="楷体" w:cs="Times New Roman"/>
          <w:kern w:val="0"/>
          <w:sz w:val="21"/>
          <w:szCs w:val="21"/>
        </w:rPr>
        <w:t>‘三公’</w:t>
      </w:r>
      <w:r>
        <w:rPr>
          <w:rFonts w:hint="eastAsia" w:ascii="楷体" w:hAnsi="楷体" w:eastAsia="楷体" w:cs="Times New Roman"/>
          <w:kern w:val="0"/>
          <w:szCs w:val="21"/>
        </w:rPr>
        <w:t>经费支出”</w:t>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outlineLvl w:val="0"/>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cs="仿宋_GB2312"/>
          <w:sz w:val="32"/>
          <w:szCs w:val="32"/>
          <w:lang w:eastAsia="zh-CN"/>
        </w:rPr>
        <w:t>便民服务中心</w:t>
      </w:r>
      <w:r>
        <w:rPr>
          <w:rFonts w:hint="eastAsia" w:ascii="仿宋" w:hAnsi="仿宋" w:eastAsia="仿宋"/>
          <w:sz w:val="32"/>
          <w:szCs w:val="32"/>
        </w:rPr>
        <w:t>部门收入预算为</w:t>
      </w:r>
      <w:r>
        <w:rPr>
          <w:rFonts w:hint="eastAsia" w:ascii="仿宋" w:hAnsi="仿宋" w:eastAsia="仿宋" w:cs="仿宋_GB2312"/>
          <w:sz w:val="32"/>
          <w:szCs w:val="32"/>
          <w:lang w:val="en-US" w:eastAsia="zh-CN"/>
        </w:rPr>
        <w:t>331.5</w:t>
      </w:r>
      <w:r>
        <w:rPr>
          <w:rFonts w:hint="eastAsia" w:ascii="仿宋" w:hAnsi="仿宋" w:eastAsia="仿宋"/>
          <w:sz w:val="32"/>
          <w:szCs w:val="32"/>
        </w:rPr>
        <w:t>万元，比上年增加</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331.5</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331.5</w:t>
      </w:r>
      <w:r>
        <w:rPr>
          <w:rFonts w:hint="eastAsia" w:ascii="仿宋" w:hAnsi="仿宋" w:eastAsia="仿宋"/>
          <w:sz w:val="32"/>
          <w:szCs w:val="32"/>
        </w:rPr>
        <w:t>万元，比上年增加</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331.5</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331.5</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一</w:t>
      </w:r>
      <w:r>
        <w:rPr>
          <w:rFonts w:hint="eastAsia" w:ascii="仿宋" w:hAnsi="仿宋" w:eastAsia="仿宋" w:cs="仿宋_GB2312"/>
          <w:sz w:val="32"/>
          <w:szCs w:val="32"/>
        </w:rPr>
        <w:t>）20113</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w:t>
      </w:r>
      <w:r>
        <w:rPr>
          <w:rFonts w:hint="eastAsia" w:ascii="仿宋" w:hAnsi="仿宋" w:eastAsia="仿宋" w:cs="仿宋_GB2312"/>
          <w:sz w:val="32"/>
          <w:szCs w:val="32"/>
          <w:lang w:eastAsia="zh-CN"/>
        </w:rPr>
        <w:t>事业运行</w:t>
      </w:r>
      <w:r>
        <w:rPr>
          <w:rFonts w:hint="eastAsia" w:ascii="仿宋" w:hAnsi="仿宋" w:eastAsia="仿宋" w:cs="仿宋_GB2312"/>
          <w:sz w:val="32"/>
          <w:szCs w:val="32"/>
          <w:lang w:val="en-US" w:eastAsia="zh-CN"/>
        </w:rPr>
        <w:t>203.61</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人员工资</w:t>
      </w:r>
      <w:r>
        <w:rPr>
          <w:rFonts w:hint="eastAsia" w:ascii="仿宋" w:hAnsi="仿宋" w:eastAsia="仿宋" w:cs="仿宋_GB2312"/>
          <w:sz w:val="32"/>
          <w:szCs w:val="32"/>
        </w:rPr>
        <w:t>支出。</w:t>
      </w:r>
    </w:p>
    <w:p>
      <w:pPr>
        <w:pStyle w:val="3"/>
        <w:ind w:firstLine="640" w:firstLineChars="200"/>
        <w:rPr>
          <w:rFonts w:hint="default" w:eastAsia="仿宋"/>
          <w:lang w:val="en-US" w:eastAsia="zh-CN"/>
        </w:rPr>
      </w:pPr>
      <w:r>
        <w:rPr>
          <w:rFonts w:hint="eastAsia" w:ascii="仿宋" w:hAnsi="仿宋" w:eastAsia="仿宋" w:cs="仿宋_GB2312"/>
          <w:sz w:val="32"/>
          <w:szCs w:val="32"/>
          <w:lang w:val="en-US" w:eastAsia="zh-CN"/>
        </w:rPr>
        <w:t>（二）2080502-</w:t>
      </w:r>
      <w:r>
        <w:rPr>
          <w:rFonts w:hint="eastAsia" w:ascii="仿宋" w:hAnsi="仿宋" w:eastAsia="仿宋" w:cs="仿宋_GB2312"/>
          <w:sz w:val="32"/>
          <w:szCs w:val="32"/>
          <w:lang w:eastAsia="zh-CN"/>
        </w:rPr>
        <w:t>事业单位离退休</w:t>
      </w:r>
      <w:r>
        <w:rPr>
          <w:rFonts w:hint="eastAsia" w:ascii="仿宋" w:hAnsi="仿宋" w:eastAsia="仿宋" w:cs="仿宋_GB2312"/>
          <w:sz w:val="32"/>
          <w:szCs w:val="32"/>
          <w:lang w:val="en-US" w:eastAsia="zh-CN"/>
        </w:rPr>
        <w:t>42.53</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机关事业单位离退休费用支出。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w:t>
      </w:r>
      <w:r>
        <w:rPr>
          <w:rFonts w:hint="eastAsia" w:ascii="仿宋" w:hAnsi="仿宋" w:eastAsia="仿宋" w:cs="仿宋_GB2312"/>
          <w:sz w:val="32"/>
          <w:szCs w:val="32"/>
        </w:rPr>
        <w:t>）2080505-</w:t>
      </w:r>
      <w:r>
        <w:rPr>
          <w:rFonts w:hint="eastAsia" w:ascii="仿宋" w:hAnsi="仿宋" w:eastAsia="仿宋" w:cs="仿宋_GB2312"/>
          <w:sz w:val="32"/>
          <w:szCs w:val="32"/>
          <w:lang w:eastAsia="zh-CN"/>
        </w:rPr>
        <w:t>机关事业单位基本养老保险缴费支出</w:t>
      </w:r>
      <w:r>
        <w:rPr>
          <w:rFonts w:hint="eastAsia" w:ascii="仿宋" w:hAnsi="仿宋" w:eastAsia="仿宋" w:cs="仿宋_GB2312"/>
          <w:sz w:val="32"/>
          <w:szCs w:val="32"/>
          <w:lang w:val="en-US" w:eastAsia="zh-CN"/>
        </w:rPr>
        <w:t>21.03</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机关事业单位基本养老保险缴费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四</w:t>
      </w:r>
      <w:r>
        <w:rPr>
          <w:rFonts w:hint="eastAsia" w:ascii="仿宋" w:hAnsi="仿宋" w:eastAsia="仿宋" w:cs="仿宋_GB2312"/>
          <w:sz w:val="32"/>
          <w:szCs w:val="32"/>
        </w:rPr>
        <w:t>）208050</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机关事业单位职业年金缴费支出</w:t>
      </w:r>
      <w:r>
        <w:rPr>
          <w:rFonts w:hint="eastAsia" w:ascii="仿宋" w:hAnsi="仿宋" w:eastAsia="仿宋" w:cs="仿宋_GB2312"/>
          <w:sz w:val="32"/>
          <w:szCs w:val="32"/>
          <w:lang w:val="en-US" w:eastAsia="zh-CN"/>
        </w:rPr>
        <w:t>10.52</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机关事业单位职业年金缴费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五</w:t>
      </w:r>
      <w:r>
        <w:rPr>
          <w:rFonts w:hint="eastAsia" w:ascii="仿宋" w:hAnsi="仿宋" w:eastAsia="仿宋" w:cs="仿宋_GB2312"/>
          <w:sz w:val="32"/>
          <w:szCs w:val="32"/>
        </w:rPr>
        <w:t>）2101102-</w:t>
      </w:r>
      <w:r>
        <w:rPr>
          <w:rFonts w:hint="eastAsia" w:ascii="仿宋" w:hAnsi="仿宋" w:eastAsia="仿宋" w:cs="仿宋_GB2312"/>
          <w:sz w:val="32"/>
          <w:szCs w:val="32"/>
          <w:lang w:eastAsia="zh-CN"/>
        </w:rPr>
        <w:t>事业单位医疗</w:t>
      </w:r>
      <w:r>
        <w:rPr>
          <w:rFonts w:hint="eastAsia" w:ascii="仿宋" w:hAnsi="仿宋" w:eastAsia="仿宋" w:cs="仿宋_GB2312"/>
          <w:sz w:val="32"/>
          <w:szCs w:val="32"/>
          <w:lang w:val="en-US" w:eastAsia="zh-CN"/>
        </w:rPr>
        <w:t>12.28</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事业单位医疗等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六</w:t>
      </w:r>
      <w:r>
        <w:rPr>
          <w:rFonts w:hint="eastAsia" w:ascii="仿宋" w:hAnsi="仿宋" w:eastAsia="仿宋" w:cs="仿宋_GB2312"/>
          <w:sz w:val="32"/>
          <w:szCs w:val="32"/>
        </w:rPr>
        <w:t>）210110</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w:t>
      </w:r>
      <w:r>
        <w:rPr>
          <w:rFonts w:hint="eastAsia" w:ascii="仿宋" w:hAnsi="仿宋" w:eastAsia="仿宋" w:cs="仿宋_GB2312"/>
          <w:sz w:val="32"/>
          <w:szCs w:val="32"/>
          <w:lang w:eastAsia="zh-CN"/>
        </w:rPr>
        <w:t>公务员医疗补助</w:t>
      </w:r>
      <w:r>
        <w:rPr>
          <w:rFonts w:hint="eastAsia" w:ascii="仿宋" w:hAnsi="仿宋" w:eastAsia="仿宋" w:cs="仿宋_GB2312"/>
          <w:sz w:val="32"/>
          <w:szCs w:val="32"/>
          <w:lang w:val="en-US" w:eastAsia="zh-CN"/>
        </w:rPr>
        <w:t>9.65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医疗补助等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七</w:t>
      </w:r>
      <w:r>
        <w:rPr>
          <w:rFonts w:hint="eastAsia" w:ascii="仿宋" w:hAnsi="仿宋" w:eastAsia="仿宋" w:cs="仿宋_GB2312"/>
          <w:sz w:val="32"/>
          <w:szCs w:val="32"/>
        </w:rPr>
        <w:t>）2210201-</w:t>
      </w:r>
      <w:r>
        <w:rPr>
          <w:rFonts w:hint="eastAsia" w:ascii="仿宋" w:hAnsi="仿宋" w:eastAsia="仿宋" w:cs="仿宋_GB2312"/>
          <w:sz w:val="32"/>
          <w:szCs w:val="32"/>
          <w:lang w:eastAsia="zh-CN"/>
        </w:rPr>
        <w:t>住房公积金</w:t>
      </w:r>
      <w:r>
        <w:rPr>
          <w:rFonts w:hint="eastAsia" w:ascii="仿宋" w:hAnsi="仿宋" w:eastAsia="仿宋" w:cs="仿宋_GB2312"/>
          <w:sz w:val="32"/>
          <w:szCs w:val="32"/>
          <w:lang w:val="en-US" w:eastAsia="zh-CN"/>
        </w:rPr>
        <w:t>21.21</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八</w:t>
      </w:r>
      <w:r>
        <w:rPr>
          <w:rFonts w:hint="eastAsia" w:ascii="仿宋" w:hAnsi="仿宋" w:eastAsia="仿宋" w:cs="仿宋_GB2312"/>
          <w:sz w:val="32"/>
          <w:szCs w:val="32"/>
        </w:rPr>
        <w:t>）2210202-</w:t>
      </w:r>
      <w:r>
        <w:rPr>
          <w:rFonts w:hint="eastAsia" w:ascii="仿宋" w:hAnsi="仿宋" w:eastAsia="仿宋" w:cs="仿宋_GB2312"/>
          <w:sz w:val="32"/>
          <w:szCs w:val="32"/>
          <w:lang w:eastAsia="zh-CN"/>
        </w:rPr>
        <w:t>提租补贴</w:t>
      </w:r>
      <w:r>
        <w:rPr>
          <w:rFonts w:hint="eastAsia" w:ascii="仿宋" w:hAnsi="仿宋" w:eastAsia="仿宋" w:cs="仿宋_GB2312"/>
          <w:sz w:val="32"/>
          <w:szCs w:val="32"/>
          <w:lang w:val="en-US" w:eastAsia="zh-CN"/>
        </w:rPr>
        <w:t>6.43</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对住房补贴等</w:t>
      </w:r>
      <w:r>
        <w:rPr>
          <w:rFonts w:hint="eastAsia" w:ascii="仿宋" w:hAnsi="仿宋" w:eastAsia="仿宋" w:cs="仿宋_GB2312"/>
          <w:sz w:val="32"/>
          <w:szCs w:val="32"/>
        </w:rPr>
        <w:t>支出。</w:t>
      </w:r>
    </w:p>
    <w:p>
      <w:pPr>
        <w:pStyle w:val="3"/>
        <w:adjustRightInd w:val="0"/>
        <w:snapToGrid w:val="0"/>
        <w:spacing w:line="600" w:lineRule="exact"/>
        <w:ind w:firstLine="640" w:firstLineChars="200"/>
        <w:rPr>
          <w:rFonts w:ascii="楷体" w:hAnsi="楷体" w:eastAsia="楷体"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九</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2210203-购房补贴4.24万元。主要用于购房补贴支出。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黑体" w:hAnsi="黑体" w:eastAsia="黑体" w:cs="仿宋_GB2312"/>
          <w:bCs/>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ind w:firstLine="0" w:firstLineChars="0"/>
        <w:outlineLvl w:val="1"/>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hint="eastAsia" w:ascii="黑体" w:hAnsi="黑体" w:eastAsia="黑体" w:cstheme="minorBidi"/>
          <w:b w:val="0"/>
          <w:kern w:val="2"/>
          <w:sz w:val="32"/>
          <w:szCs w:val="32"/>
          <w:lang w:eastAsia="zh-CN"/>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年度没有使用国有资本经营预算拨款安排的支出”。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cstheme="minorBidi"/>
          <w:b w:val="0"/>
          <w:kern w:val="2"/>
          <w:sz w:val="32"/>
          <w:szCs w:val="32"/>
          <w:lang w:eastAsia="zh-CN"/>
        </w:rPr>
        <w:t>、</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331.5</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322.5</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六</w:t>
      </w:r>
      <w:r>
        <w:rPr>
          <w:rFonts w:hint="eastAsia" w:ascii="黑体" w:hAnsi="黑体" w:eastAsia="黑体" w:cstheme="minorBidi"/>
          <w:b w:val="0"/>
          <w:kern w:val="2"/>
          <w:sz w:val="32"/>
          <w:szCs w:val="32"/>
          <w:lang w:eastAsia="zh-CN"/>
        </w:rPr>
        <w:t>、一般公共预算“三公”经费支出情况</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adjustRightInd w:val="0"/>
        <w:snapToGrid w:val="0"/>
        <w:spacing w:line="600" w:lineRule="exact"/>
        <w:ind w:firstLine="643" w:firstLineChars="200"/>
        <w:outlineLvl w:val="2"/>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widowControl/>
        <w:adjustRightInd w:val="0"/>
        <w:snapToGrid w:val="0"/>
        <w:spacing w:line="600" w:lineRule="exact"/>
        <w:ind w:firstLine="660" w:firstLineChars="0"/>
        <w:rPr>
          <w:rFonts w:ascii="仿宋" w:hAnsi="仿宋" w:eastAsia="仿宋"/>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七</w:t>
      </w:r>
      <w:r>
        <w:rPr>
          <w:rFonts w:hint="eastAsia" w:ascii="黑体" w:hAnsi="黑体" w:eastAsia="黑体" w:cstheme="minorBidi"/>
          <w:b w:val="0"/>
          <w:kern w:val="2"/>
          <w:sz w:val="32"/>
          <w:szCs w:val="32"/>
          <w:lang w:eastAsia="zh-CN"/>
        </w:rPr>
        <w:t>、</w:t>
      </w:r>
      <w:r>
        <w:rPr>
          <w:rFonts w:hint="eastAsia" w:ascii="黑体" w:hAnsi="黑体" w:eastAsia="黑体" w:cstheme="minorBidi"/>
          <w:b w:val="0"/>
          <w:kern w:val="2"/>
          <w:sz w:val="32"/>
          <w:szCs w:val="32"/>
          <w:lang w:eastAsia="zh-CN"/>
        </w:rPr>
        <w:t>预算绩效目标情况</w:t>
      </w:r>
    </w:p>
    <w:p>
      <w:pPr>
        <w:spacing w:line="590" w:lineRule="exact"/>
        <w:ind w:firstLine="630" w:firstLineChars="196"/>
        <w:outlineLvl w:val="2"/>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综合便民服务中心</w:t>
      </w:r>
      <w:r>
        <w:rPr>
          <w:rFonts w:hint="eastAsia" w:ascii="仿宋" w:hAnsi="仿宋" w:eastAsia="仿宋" w:cs="仿宋_GB2312"/>
          <w:kern w:val="0"/>
          <w:sz w:val="32"/>
          <w:szCs w:val="32"/>
        </w:rPr>
        <w:t>部门共设置</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590" w:lineRule="exact"/>
        <w:ind w:firstLine="630" w:firstLineChars="196"/>
        <w:outlineLvl w:val="2"/>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1.项目支出绩效目标表</w:t>
      </w:r>
    </w:p>
    <w:p>
      <w:pPr>
        <w:spacing w:line="590" w:lineRule="exact"/>
        <w:ind w:firstLine="640" w:firstLineChars="200"/>
        <w:rPr>
          <w:rFonts w:ascii="仿宋" w:hAnsi="仿宋" w:eastAsia="仿宋"/>
          <w:b/>
          <w:sz w:val="32"/>
          <w:szCs w:val="32"/>
        </w:rPr>
      </w:pPr>
      <w:r>
        <w:rPr>
          <w:rFonts w:hint="eastAsia" w:ascii="楷体" w:hAnsi="楷体" w:eastAsia="楷体" w:cs="楷体"/>
          <w:kern w:val="0"/>
          <w:sz w:val="32"/>
          <w:szCs w:val="32"/>
        </w:rPr>
        <w:t>本部门无项目支出绩效目标表</w:t>
      </w:r>
    </w:p>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本部门无其他需要说明的绩效目标情况</w:t>
      </w:r>
      <w:r>
        <w:rPr>
          <w:rFonts w:hint="eastAsia" w:ascii="楷体" w:hAnsi="楷体" w:eastAsia="楷体" w:cs="楷体"/>
          <w:kern w:val="0"/>
          <w:sz w:val="32"/>
          <w:szCs w:val="32"/>
          <w:lang w:eastAsia="zh-CN"/>
        </w:rPr>
        <w:t>。</w:t>
      </w:r>
    </w:p>
    <w:p>
      <w:pPr>
        <w:spacing w:line="600" w:lineRule="exact"/>
        <w:outlineLvl w:val="1"/>
        <w:rPr>
          <w:rFonts w:ascii="黑体" w:hAnsi="黑体" w:eastAsia="黑体"/>
          <w:b w:val="0"/>
          <w:sz w:val="32"/>
          <w:szCs w:val="32"/>
        </w:rPr>
      </w:pPr>
      <w:r>
        <w:rPr>
          <w:rFonts w:hint="eastAsia" w:ascii="黑体" w:hAnsi="黑体" w:eastAsia="黑体"/>
          <w:b w:val="0"/>
          <w:sz w:val="32"/>
          <w:szCs w:val="32"/>
        </w:rPr>
        <w:t>八</w:t>
      </w:r>
      <w:r>
        <w:rPr>
          <w:rFonts w:hint="eastAsia" w:ascii="黑体" w:hAnsi="黑体" w:eastAsia="黑体"/>
          <w:b w:val="0"/>
          <w:sz w:val="32"/>
          <w:szCs w:val="32"/>
        </w:rPr>
        <w:t>、其他重要事项说明</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楷体" w:hAnsi="楷体" w:eastAsia="楷体"/>
          <w:color w:val="auto"/>
          <w:sz w:val="32"/>
          <w:szCs w:val="32"/>
        </w:rPr>
      </w:pPr>
      <w:r>
        <w:rPr>
          <w:rFonts w:hint="eastAsia" w:ascii="楷体" w:hAnsi="楷体" w:eastAsia="楷体"/>
          <w:sz w:val="32"/>
          <w:szCs w:val="32"/>
        </w:rPr>
        <w:t>本部门没有机关运行经费。</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w:t>
      </w:r>
      <w:r>
        <w:rPr>
          <w:rFonts w:hint="eastAsia" w:ascii="楷体" w:hAnsi="楷体" w:eastAsia="楷体"/>
          <w:sz w:val="32"/>
          <w:szCs w:val="32"/>
        </w:rPr>
        <w:t>没有政府采购预算。</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楷体" w:hAnsi="楷体" w:eastAsia="楷体" w:cs="楷体"/>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eastAsia="zh-CN"/>
        </w:rPr>
        <w:t>综合便民服务中心</w:t>
      </w:r>
      <w:r>
        <w:rPr>
          <w:rFonts w:hint="eastAsia" w:ascii="仿宋" w:hAnsi="仿宋" w:eastAsia="仿宋"/>
          <w:sz w:val="32"/>
          <w:szCs w:val="32"/>
        </w:rPr>
        <w:t>部门共有车辆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2024</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r>
        <w:rPr>
          <w:rFonts w:hint="eastAsia" w:ascii="仿宋" w:hAnsi="仿宋" w:eastAsia="仿宋"/>
          <w:sz w:val="32"/>
          <w:szCs w:val="32"/>
        </w:rPr>
        <w:t>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rPr>
        <w:t>事业单位</w:t>
      </w:r>
      <w:r>
        <w:rPr>
          <w:rFonts w:hint="eastAsia" w:ascii="仿宋" w:hAnsi="仿宋" w:eastAsia="仿宋" w:cs="仿宋"/>
          <w:b/>
          <w:color w:val="000000"/>
          <w:kern w:val="0"/>
          <w:sz w:val="32"/>
          <w:szCs w:val="32"/>
        </w:rPr>
        <w:t>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w:t>
      </w:r>
      <w:r>
        <w:rPr>
          <w:rFonts w:hint="eastAsia" w:ascii="仿宋" w:hAnsi="仿宋" w:eastAsia="仿宋" w:cs="仿宋"/>
          <w:b/>
          <w:color w:val="000000"/>
          <w:kern w:val="0"/>
          <w:sz w:val="32"/>
          <w:szCs w:val="32"/>
        </w:rPr>
        <w:t>、结转结余</w:t>
      </w:r>
      <w:r>
        <w:rPr>
          <w:rFonts w:hint="eastAsia" w:ascii="仿宋" w:hAnsi="仿宋" w:eastAsia="仿宋" w:cs="仿宋"/>
          <w:b/>
          <w:color w:val="000000"/>
          <w:kern w:val="0"/>
          <w:sz w:val="32"/>
          <w:szCs w:val="32"/>
        </w:rPr>
        <w:t>资金</w:t>
      </w:r>
      <w:r>
        <w:rPr>
          <w:rFonts w:hint="eastAsia" w:ascii="仿宋" w:hAnsi="仿宋" w:eastAsia="仿宋" w:cs="仿宋"/>
          <w:b/>
          <w:color w:val="000000"/>
          <w:kern w:val="0"/>
          <w:sz w:val="32"/>
          <w:szCs w:val="32"/>
        </w:rPr>
        <w:t>：</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2"/>
        <w:spacing w:line="600" w:lineRule="exact"/>
        <w:ind w:firstLine="640"/>
        <w:rPr>
          <w:rFonts w:hAnsi="仿宋"/>
          <w:sz w:val="32"/>
          <w:szCs w:val="32"/>
        </w:rPr>
      </w:pPr>
      <w:r>
        <w:rPr>
          <w:rFonts w:hint="eastAsia" w:hAnsi="仿宋"/>
          <w:b/>
          <w:sz w:val="32"/>
          <w:szCs w:val="32"/>
        </w:rPr>
        <w:t>六</w:t>
      </w:r>
      <w:r>
        <w:rPr>
          <w:rFonts w:hint="eastAsia" w:hAnsi="仿宋"/>
          <w:b/>
          <w:sz w:val="32"/>
          <w:szCs w:val="32"/>
        </w:rPr>
        <w:t>、基本支出：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七</w:t>
      </w:r>
      <w:r>
        <w:rPr>
          <w:rFonts w:hint="eastAsia" w:hAnsi="仿宋"/>
          <w:b/>
          <w:sz w:val="32"/>
          <w:szCs w:val="32"/>
        </w:rPr>
        <w:t>、项目支出：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八</w:t>
      </w:r>
      <w:r>
        <w:rPr>
          <w:rFonts w:hint="eastAsia" w:hAnsi="仿宋"/>
          <w:b/>
          <w:sz w:val="32"/>
          <w:szCs w:val="32"/>
        </w:rPr>
        <w:t>、</w:t>
      </w:r>
      <w:r>
        <w:rPr>
          <w:rFonts w:hint="eastAsia" w:hAnsi="仿宋"/>
          <w:b/>
          <w:sz w:val="32"/>
          <w:szCs w:val="32"/>
        </w:rPr>
        <w:t>事业单位</w:t>
      </w:r>
      <w:r>
        <w:rPr>
          <w:rFonts w:hint="eastAsia" w:hAnsi="仿宋"/>
          <w:b/>
          <w:sz w:val="32"/>
          <w:szCs w:val="32"/>
        </w:rPr>
        <w:t>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2"/>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2"/>
        <w:spacing w:line="600" w:lineRule="exact"/>
        <w:ind w:firstLine="640"/>
        <w:rPr>
          <w:rFonts w:hAnsi="仿宋"/>
          <w:sz w:val="32"/>
          <w:szCs w:val="32"/>
        </w:rPr>
      </w:pPr>
      <w:r>
        <w:rPr>
          <w:rFonts w:hint="eastAsia" w:hAnsi="仿宋"/>
          <w:b/>
          <w:sz w:val="32"/>
          <w:szCs w:val="32"/>
        </w:rPr>
        <w:t>十一</w:t>
      </w:r>
      <w:r>
        <w:rPr>
          <w:rFonts w:hint="eastAsia" w:hAnsi="仿宋"/>
          <w:b/>
          <w:sz w:val="32"/>
          <w:szCs w:val="32"/>
        </w:rPr>
        <w:t>、</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w:t>
      </w:r>
      <w:r>
        <w:rPr>
          <w:rFonts w:hint="eastAsia" w:ascii="仿宋" w:hAnsi="仿宋" w:eastAsia="仿宋"/>
          <w:b/>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MDU0ZmRmNTY5NjExZDcwNmY3MzI2MjBhMWYxMGY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99159BD"/>
    <w:rsid w:val="0B2B0F51"/>
    <w:rsid w:val="0B6017B9"/>
    <w:rsid w:val="0D9E5575"/>
    <w:rsid w:val="116457F1"/>
    <w:rsid w:val="13BD602E"/>
    <w:rsid w:val="16A448E1"/>
    <w:rsid w:val="26E74AA2"/>
    <w:rsid w:val="28C02245"/>
    <w:rsid w:val="2D9D2272"/>
    <w:rsid w:val="32CF421D"/>
    <w:rsid w:val="3A9840A3"/>
    <w:rsid w:val="43A062AD"/>
    <w:rsid w:val="4D424BF3"/>
    <w:rsid w:val="52CB6777"/>
    <w:rsid w:val="5BCD1176"/>
    <w:rsid w:val="66ED222A"/>
    <w:rsid w:val="69C97A5C"/>
    <w:rsid w:val="6A301889"/>
    <w:rsid w:val="6BA5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autoRedefine/>
    <w:unhideWhenUsed/>
    <w:qFormat/>
    <w:uiPriority w:val="99"/>
    <w:pPr>
      <w:spacing w:line="240" w:lineRule="auto"/>
    </w:pPr>
    <w:rPr>
      <w:sz w:val="18"/>
      <w:szCs w:val="18"/>
    </w:rPr>
  </w:style>
  <w:style w:type="paragraph" w:styleId="4">
    <w:name w:val="footer"/>
    <w:basedOn w:val="1"/>
    <w:link w:val="9"/>
    <w:autoRedefine/>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character" w:customStyle="1" w:styleId="10">
    <w:name w:val="正文文本 Char"/>
    <w:basedOn w:val="7"/>
    <w:link w:val="2"/>
    <w:autoRedefine/>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3"/>
    <w:autoRedefine/>
    <w:semiHidden/>
    <w:qFormat/>
    <w:uiPriority w:val="99"/>
    <w:rPr>
      <w:sz w:val="18"/>
      <w:szCs w:val="18"/>
    </w:rPr>
  </w:style>
  <w:style w:type="paragraph" w:customStyle="1" w:styleId="12">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autoRedefine/>
    <w:qFormat/>
    <w:uiPriority w:val="34"/>
    <w:pPr>
      <w:ind w:firstLine="420" w:firstLineChars="200"/>
    </w:pPr>
  </w:style>
  <w:style w:type="paragraph" w:styleId="1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2003</Words>
  <Characters>11418</Characters>
  <Lines>95</Lines>
  <Paragraphs>26</Paragraphs>
  <TotalTime>7</TotalTime>
  <ScaleCrop>false</ScaleCrop>
  <LinksUpToDate>false</LinksUpToDate>
  <CharactersWithSpaces>13395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玲珑</cp:lastModifiedBy>
  <cp:lastPrinted>2023-01-03T09:16:00Z</cp:lastPrinted>
  <dcterms:modified xsi:type="dcterms:W3CDTF">2024-02-02T09:47:25Z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0C74371C0780412D8D75456462072B2D_13</vt:lpwstr>
  </property>
</Properties>
</file>