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eastAsia="仿宋_GB2312"/>
          <w:sz w:val="32"/>
          <w:szCs w:val="32"/>
          <w:lang w:val="en-US" w:eastAsia="zh-CN"/>
        </w:rPr>
      </w:pPr>
      <w:r>
        <w:rPr>
          <w:rFonts w:hint="eastAsia" w:eastAsia="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color w:val="auto"/>
          <w:sz w:val="44"/>
          <w:szCs w:val="44"/>
          <w:highlight w:val="none"/>
          <w:u w:val="none"/>
          <w:shd w:val="clear" w:color="auto" w:fill="FFFFFF"/>
        </w:rPr>
      </w:pPr>
    </w:p>
    <w:p>
      <w:pPr>
        <w:spacing w:line="600" w:lineRule="exact"/>
        <w:jc w:val="center"/>
        <w:rPr>
          <w:rFonts w:hint="eastAsia"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lang w:val="en-US" w:eastAsia="zh-CN"/>
        </w:rPr>
        <w:t>晋安区2023年历史文化保护动态监测报告</w:t>
      </w:r>
    </w:p>
    <w:p>
      <w:pPr>
        <w:pStyle w:val="12"/>
        <w:keepNext w:val="0"/>
        <w:keepLines w:val="0"/>
        <w:pageBreakBefore w:val="0"/>
        <w:widowControl w:val="0"/>
        <w:kinsoku/>
        <w:wordWrap/>
        <w:overflowPunct/>
        <w:topLinePunct w:val="0"/>
        <w:autoSpaceDE/>
        <w:autoSpaceDN/>
        <w:bidi w:val="0"/>
        <w:adjustRightInd/>
        <w:snapToGrid/>
        <w:spacing w:line="580" w:lineRule="exact"/>
        <w:ind w:left="640" w:firstLine="0"/>
        <w:textAlignment w:val="auto"/>
        <w:rPr>
          <w:rFonts w:ascii="Times New Roman" w:hAnsi="Times New Roman" w:eastAsia="黑体"/>
          <w:color w:val="auto"/>
          <w:sz w:val="32"/>
          <w:szCs w:val="32"/>
          <w:highlight w:val="none"/>
        </w:rPr>
      </w:pPr>
    </w:p>
    <w:p>
      <w:pPr>
        <w:pStyle w:val="12"/>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总体概况</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olor w:val="auto"/>
          <w:sz w:val="32"/>
          <w:szCs w:val="32"/>
          <w:highlight w:val="none"/>
        </w:rPr>
      </w:pPr>
      <w:r>
        <w:rPr>
          <w:rFonts w:hint="eastAsia" w:ascii="仿宋_GB2312" w:hAnsi="仿宋_GB2312" w:eastAsia="仿宋_GB2312" w:cs="仿宋_GB2312"/>
          <w:color w:val="auto"/>
          <w:sz w:val="32"/>
          <w:szCs w:val="32"/>
          <w:highlight w:val="none"/>
        </w:rPr>
        <w:t>我区现有历史地段鼓岭历史建筑群、协和大学历史建筑群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传统村落九峰村，</w:t>
      </w:r>
      <w:r>
        <w:rPr>
          <w:rFonts w:ascii="仿宋" w:hAnsi="仿宋" w:eastAsia="仿宋"/>
          <w:color w:val="auto"/>
          <w:sz w:val="32"/>
          <w:szCs w:val="32"/>
          <w:highlight w:val="none"/>
        </w:rPr>
        <w:t>119处文物保护单位与文物点（其中86处为文物保护单位，33处为文物点；86处文物保护单位中，有国家级1处、省级8处、市级19处、区级58处）</w:t>
      </w:r>
      <w:r>
        <w:rPr>
          <w:rFonts w:hint="eastAsia" w:ascii="仿宋_GB2312" w:hAnsi="仿宋_GB2312" w:eastAsia="仿宋_GB2312" w:cs="仿宋_GB2312"/>
          <w:color w:val="auto"/>
          <w:sz w:val="32"/>
          <w:szCs w:val="32"/>
          <w:highlight w:val="none"/>
        </w:rPr>
        <w:t>、</w:t>
      </w:r>
      <w:bookmarkStart w:id="0" w:name="_Hlk121678564"/>
      <w:r>
        <w:rPr>
          <w:rFonts w:hint="eastAsia" w:ascii="仿宋_GB2312" w:hAnsi="仿宋_GB2312" w:eastAsia="仿宋_GB2312" w:cs="仿宋_GB2312"/>
          <w:color w:val="auto"/>
          <w:sz w:val="32"/>
          <w:szCs w:val="32"/>
          <w:highlight w:val="none"/>
        </w:rPr>
        <w:t>历史建筑3</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传统风貌建筑13处</w:t>
      </w:r>
      <w:r>
        <w:rPr>
          <w:rFonts w:hint="eastAsia" w:ascii="仿宋_GB2312" w:hAnsi="仿宋_GB2312" w:eastAsia="仿宋_GB2312" w:cs="仿宋_GB2312"/>
          <w:color w:val="auto"/>
          <w:sz w:val="32"/>
          <w:szCs w:val="32"/>
          <w:highlight w:val="none"/>
        </w:rPr>
        <w:t>及预保护建筑（含历史建筑普查成果、推荐历史建筑、推荐传统风貌建筑）</w:t>
      </w:r>
      <w:r>
        <w:rPr>
          <w:rFonts w:hint="eastAsia" w:ascii="仿宋_GB2312" w:hAnsi="仿宋_GB2312" w:eastAsia="仿宋_GB2312" w:cs="仿宋_GB2312"/>
          <w:color w:val="auto"/>
          <w:sz w:val="32"/>
          <w:szCs w:val="32"/>
          <w:highlight w:val="none"/>
          <w:lang w:val="en-US" w:eastAsia="zh-CN"/>
        </w:rPr>
        <w:t>255</w:t>
      </w:r>
      <w:r>
        <w:rPr>
          <w:rFonts w:hint="eastAsia" w:ascii="仿宋_GB2312" w:hAnsi="仿宋_GB2312" w:eastAsia="仿宋_GB2312" w:cs="仿宋_GB2312"/>
          <w:color w:val="auto"/>
          <w:sz w:val="32"/>
          <w:szCs w:val="32"/>
          <w:highlight w:val="none"/>
        </w:rPr>
        <w:t>处。</w:t>
      </w:r>
      <w:bookmarkEnd w:id="0"/>
    </w:p>
    <w:p>
      <w:pPr>
        <w:pStyle w:val="1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二、评估监测内容</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（一）相关中央、省级文件精神落实情况。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textAlignment w:val="auto"/>
        <w:rPr>
          <w:color w:val="auto"/>
          <w:highlight w:val="none"/>
        </w:rPr>
      </w:pPr>
      <w:r>
        <w:rPr>
          <w:rFonts w:hint="eastAsia" w:ascii="仿宋_GB2312" w:hAnsi="仿宋_GB2312" w:cs="仿宋_GB2312"/>
          <w:color w:val="auto"/>
          <w:szCs w:val="32"/>
          <w:highlight w:val="none"/>
        </w:rPr>
        <w:t>全区各级各部门认真学习</w:t>
      </w:r>
      <w:r>
        <w:rPr>
          <w:rFonts w:hint="eastAsia" w:ascii="仿宋_GB2312" w:eastAsia="仿宋_GB2312"/>
          <w:color w:val="auto"/>
          <w:sz w:val="32"/>
          <w:szCs w:val="32"/>
          <w:highlight w:val="none"/>
        </w:rPr>
        <w:t>《关于在城乡建设中加强历史文化保护传承的意见》</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《福建省历史文化名城名镇名村和传统村落保护条例》</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《福建省传统风貌建筑保护条例》、省政府办公厅《关于加强历史文化名城名镇名村传统村落和文物建筑历史建筑传统风貌建筑保护利用九条措施的通知》(闽政办〔2020〕53号)、</w:t>
      </w:r>
      <w:r>
        <w:rPr>
          <w:rFonts w:hint="eastAsia" w:ascii="仿宋_GB2312"/>
          <w:color w:val="auto"/>
          <w:sz w:val="32"/>
          <w:szCs w:val="32"/>
          <w:highlight w:val="none"/>
          <w:lang w:val="en-US" w:eastAsia="zh-CN"/>
        </w:rPr>
        <w:t>省</w:t>
      </w:r>
      <w:r>
        <w:rPr>
          <w:rFonts w:hint="eastAsia" w:ascii="仿宋_GB2312" w:eastAsia="仿宋_GB2312"/>
          <w:color w:val="auto"/>
          <w:sz w:val="32"/>
          <w:szCs w:val="32"/>
          <w:highlight w:val="none"/>
        </w:rPr>
        <w:t>住房和城乡建设厅、省文化和旅游厅、省文物局《关于在城乡建设中加强历史文化保护传承七条措施的通知》</w:t>
      </w:r>
      <w:r>
        <w:rPr>
          <w:rFonts w:hint="eastAsia" w:ascii="仿宋_GB2312"/>
          <w:color w:val="auto"/>
          <w:sz w:val="32"/>
          <w:szCs w:val="32"/>
          <w:highlight w:val="none"/>
          <w:lang w:eastAsia="zh-CN"/>
        </w:rPr>
        <w:t>（闽建风貌〔2022〕4号）</w:t>
      </w:r>
      <w:r>
        <w:rPr>
          <w:rFonts w:hint="eastAsia" w:ascii="仿宋_GB2312" w:eastAsia="仿宋_GB2312"/>
          <w:color w:val="auto"/>
          <w:sz w:val="32"/>
          <w:szCs w:val="32"/>
          <w:highlight w:val="none"/>
        </w:rPr>
        <w:t>、市政府办公厅《关于贯彻落实历史文化名城名镇名村传统村落和文物建筑历史建筑传统风貌建筑保护利用九条措施的通知》</w:t>
      </w:r>
      <w:r>
        <w:rPr>
          <w:rFonts w:hint="eastAsia" w:ascii="仿宋_GB2312"/>
          <w:color w:val="auto"/>
          <w:sz w:val="32"/>
          <w:szCs w:val="32"/>
          <w:highlight w:val="none"/>
          <w:lang w:eastAsia="zh-CN"/>
        </w:rPr>
        <w:t>（榕政办〔202</w:t>
      </w:r>
      <w:r>
        <w:rPr>
          <w:rFonts w:hint="eastAsia" w:ascii="仿宋_GB2312"/>
          <w:color w:val="auto"/>
          <w:sz w:val="32"/>
          <w:szCs w:val="32"/>
          <w:highlight w:val="none"/>
          <w:lang w:val="en-US" w:eastAsia="zh-CN"/>
        </w:rPr>
        <w:t>1</w:t>
      </w:r>
      <w:r>
        <w:rPr>
          <w:rFonts w:hint="eastAsia" w:ascii="仿宋_GB2312"/>
          <w:color w:val="auto"/>
          <w:sz w:val="32"/>
          <w:szCs w:val="32"/>
          <w:highlight w:val="none"/>
          <w:lang w:eastAsia="zh-CN"/>
        </w:rPr>
        <w:t>〕17号）</w:t>
      </w:r>
      <w:r>
        <w:rPr>
          <w:rFonts w:hint="eastAsia"/>
          <w:color w:val="auto"/>
          <w:szCs w:val="32"/>
          <w:highlight w:val="none"/>
        </w:rPr>
        <w:t>等文件精神，</w:t>
      </w:r>
      <w:r>
        <w:rPr>
          <w:rFonts w:hint="eastAsia" w:ascii="仿宋_GB2312" w:hAnsi="仿宋_GB2312" w:cs="仿宋_GB2312"/>
          <w:color w:val="auto"/>
          <w:szCs w:val="32"/>
          <w:highlight w:val="none"/>
        </w:rPr>
        <w:t>切实提高政治站位，加强历史文化保护工作。同时，利用</w:t>
      </w:r>
      <w:r>
        <w:rPr>
          <w:rFonts w:hint="eastAsia" w:ascii="仿宋_GB2312" w:hAnsi="仿宋_GB2312" w:cs="仿宋_GB2312"/>
          <w:color w:val="auto"/>
          <w:szCs w:val="32"/>
          <w:highlight w:val="none"/>
          <w:lang w:val="en-US" w:eastAsia="zh-CN"/>
        </w:rPr>
        <w:t>晋安</w:t>
      </w:r>
      <w:r>
        <w:rPr>
          <w:rFonts w:hint="eastAsia" w:ascii="仿宋_GB2312" w:hAnsi="仿宋_GB2312" w:cs="仿宋_GB2312"/>
          <w:color w:val="auto"/>
          <w:szCs w:val="32"/>
          <w:highlight w:val="none"/>
        </w:rPr>
        <w:t>门户网站、公众号、学习讲座</w:t>
      </w:r>
      <w:r>
        <w:rPr>
          <w:rFonts w:hint="eastAsia" w:ascii="仿宋_GB2312" w:hAnsi="仿宋_GB2312" w:cs="仿宋_GB2312"/>
          <w:color w:val="auto"/>
          <w:szCs w:val="32"/>
          <w:highlight w:val="none"/>
          <w:lang w:eastAsia="zh-CN"/>
        </w:rPr>
        <w:t>、</w:t>
      </w:r>
      <w:r>
        <w:rPr>
          <w:rFonts w:hint="eastAsia" w:ascii="仿宋_GB2312" w:hAnsi="仿宋_GB2312" w:cs="仿宋_GB2312"/>
          <w:color w:val="auto"/>
          <w:szCs w:val="32"/>
          <w:highlight w:val="none"/>
          <w:lang w:val="en-US" w:eastAsia="zh-CN"/>
        </w:rPr>
        <w:t>摄影展</w:t>
      </w:r>
      <w:r>
        <w:rPr>
          <w:rFonts w:hint="eastAsia" w:ascii="仿宋_GB2312" w:hAnsi="仿宋_GB2312" w:cs="仿宋_GB2312"/>
          <w:color w:val="auto"/>
          <w:szCs w:val="32"/>
          <w:highlight w:val="none"/>
        </w:rPr>
        <w:t>等多种形式的活动大力开展</w:t>
      </w:r>
      <w:r>
        <w:rPr>
          <w:rFonts w:hint="eastAsia" w:ascii="仿宋_GB2312" w:hAnsi="仿宋_GB2312" w:cs="仿宋_GB2312"/>
          <w:color w:val="auto"/>
          <w:szCs w:val="32"/>
          <w:highlight w:val="none"/>
          <w:lang w:val="en-US" w:eastAsia="zh-CN"/>
        </w:rPr>
        <w:t>古厝</w:t>
      </w:r>
      <w:r>
        <w:rPr>
          <w:rFonts w:hint="eastAsia" w:ascii="仿宋_GB2312" w:hAnsi="仿宋_GB2312" w:cs="仿宋_GB2312"/>
          <w:color w:val="auto"/>
          <w:szCs w:val="32"/>
          <w:highlight w:val="none"/>
        </w:rPr>
        <w:t>宣传工作，宣传古厝保护</w:t>
      </w:r>
      <w:r>
        <w:rPr>
          <w:rFonts w:hint="eastAsia" w:ascii="仿宋_GB2312" w:hAnsi="仿宋_GB2312" w:cs="仿宋_GB2312"/>
          <w:color w:val="auto"/>
          <w:szCs w:val="32"/>
          <w:highlight w:val="none"/>
          <w:lang w:eastAsia="zh-CN"/>
        </w:rPr>
        <w:t>、</w:t>
      </w:r>
      <w:r>
        <w:rPr>
          <w:rFonts w:hint="eastAsia" w:ascii="仿宋_GB2312" w:hAnsi="仿宋_GB2312" w:cs="仿宋_GB2312"/>
          <w:color w:val="auto"/>
          <w:szCs w:val="32"/>
          <w:highlight w:val="none"/>
        </w:rPr>
        <w:t>利用的作用与重要意义，增强人民群众历史责任感，更好地配合支持古厝的保护、修缮和活化利用工作。</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（二）历史文化资源调查评估、认定公布和保护管理情况。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olor w:val="auto"/>
          <w:sz w:val="32"/>
          <w:szCs w:val="32"/>
          <w:highlight w:val="none"/>
          <w:lang w:eastAsia="zh-CN"/>
        </w:rPr>
      </w:pPr>
      <w:r>
        <w:rPr>
          <w:rFonts w:eastAsia="仿宋_GB2312"/>
          <w:b/>
          <w:bCs/>
          <w:color w:val="auto"/>
          <w:sz w:val="32"/>
          <w:szCs w:val="32"/>
          <w:highlight w:val="none"/>
        </w:rPr>
        <w:t>1.普查工作方面。文物保护单位方面</w:t>
      </w:r>
      <w:r>
        <w:rPr>
          <w:rFonts w:hint="eastAsia" w:eastAsia="仿宋_GB2312"/>
          <w:b/>
          <w:bCs/>
          <w:color w:val="auto"/>
          <w:sz w:val="32"/>
          <w:szCs w:val="32"/>
          <w:highlight w:val="none"/>
        </w:rPr>
        <w:t>，</w:t>
      </w:r>
      <w:r>
        <w:rPr>
          <w:rFonts w:hint="eastAsia" w:ascii="仿宋" w:hAnsi="仿宋" w:eastAsia="仿宋"/>
          <w:color w:val="auto"/>
          <w:sz w:val="32"/>
          <w:szCs w:val="32"/>
          <w:highlight w:val="none"/>
          <w:lang w:eastAsia="zh-CN"/>
        </w:rPr>
        <w:t>我区已委托</w:t>
      </w:r>
      <w:r>
        <w:rPr>
          <w:rFonts w:ascii="仿宋" w:hAnsi="仿宋" w:eastAsia="仿宋"/>
          <w:color w:val="auto"/>
          <w:sz w:val="32"/>
          <w:szCs w:val="32"/>
          <w:highlight w:val="none"/>
        </w:rPr>
        <w:t>福州市规划设计研究院集团有限公司开展不可移动文物</w:t>
      </w:r>
      <w:r>
        <w:rPr>
          <w:rFonts w:hint="eastAsia" w:ascii="仿宋" w:hAnsi="仿宋" w:eastAsia="仿宋"/>
          <w:color w:val="auto"/>
          <w:sz w:val="32"/>
          <w:szCs w:val="32"/>
          <w:highlight w:val="none"/>
          <w:lang w:eastAsia="zh-CN"/>
        </w:rPr>
        <w:t>普查</w:t>
      </w:r>
      <w:r>
        <w:rPr>
          <w:rFonts w:ascii="仿宋" w:hAnsi="仿宋" w:eastAsia="仿宋"/>
          <w:color w:val="auto"/>
          <w:sz w:val="32"/>
          <w:szCs w:val="32"/>
          <w:highlight w:val="none"/>
        </w:rPr>
        <w:t>核查工作。截止目前，</w:t>
      </w:r>
      <w:r>
        <w:rPr>
          <w:rFonts w:hint="eastAsia" w:ascii="仿宋" w:hAnsi="仿宋" w:eastAsia="仿宋"/>
          <w:color w:val="auto"/>
          <w:sz w:val="32"/>
          <w:szCs w:val="32"/>
          <w:highlight w:val="none"/>
        </w:rPr>
        <w:t>我</w:t>
      </w:r>
      <w:r>
        <w:rPr>
          <w:rFonts w:ascii="仿宋" w:hAnsi="仿宋" w:eastAsia="仿宋"/>
          <w:color w:val="auto"/>
          <w:sz w:val="32"/>
          <w:szCs w:val="32"/>
          <w:highlight w:val="none"/>
        </w:rPr>
        <w:t>区共有国家级、省级、市级、区级文保单位共86处，其中国家级1处、省级8处、市级19处、区级58处。此外还有文物登记点33处，共计119处。</w:t>
      </w:r>
      <w:r>
        <w:rPr>
          <w:rFonts w:hint="eastAsia" w:eastAsia="仿宋_GB2312"/>
          <w:b/>
          <w:bCs/>
          <w:color w:val="auto"/>
          <w:sz w:val="32"/>
          <w:szCs w:val="32"/>
          <w:highlight w:val="none"/>
        </w:rPr>
        <w:t>历史建筑保护方面</w:t>
      </w:r>
      <w:r>
        <w:rPr>
          <w:rFonts w:hint="eastAsia" w:eastAsia="仿宋_GB2312"/>
          <w:color w:val="auto"/>
          <w:sz w:val="32"/>
          <w:szCs w:val="32"/>
          <w:highlight w:val="none"/>
        </w:rPr>
        <w:t>，</w:t>
      </w:r>
      <w:r>
        <w:rPr>
          <w:rFonts w:eastAsia="仿宋_GB2312"/>
          <w:color w:val="auto"/>
          <w:sz w:val="32"/>
          <w:szCs w:val="32"/>
          <w:highlight w:val="none"/>
        </w:rPr>
        <w:t>我区</w:t>
      </w:r>
      <w:r>
        <w:rPr>
          <w:rFonts w:hint="eastAsia" w:eastAsia="仿宋_GB2312"/>
          <w:color w:val="auto"/>
          <w:sz w:val="32"/>
          <w:szCs w:val="32"/>
          <w:highlight w:val="none"/>
        </w:rPr>
        <w:t>已</w:t>
      </w:r>
      <w:r>
        <w:rPr>
          <w:rFonts w:eastAsia="仿宋_GB2312"/>
          <w:color w:val="auto"/>
          <w:sz w:val="32"/>
          <w:szCs w:val="32"/>
          <w:highlight w:val="none"/>
        </w:rPr>
        <w:t>委托市规划院与市勘测院对全区50年以上的古建筑进行摸排、入户调研、信息收集录入、分类定级、专家评审等</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eastAsia="仿宋_GB2312"/>
          <w:color w:val="auto"/>
          <w:sz w:val="32"/>
          <w:szCs w:val="32"/>
          <w:highlight w:val="none"/>
          <w:lang w:eastAsia="zh-CN"/>
        </w:rPr>
      </w:pPr>
      <w:r>
        <w:rPr>
          <w:rFonts w:eastAsia="仿宋_GB2312"/>
          <w:b/>
          <w:bCs/>
          <w:color w:val="auto"/>
          <w:sz w:val="32"/>
          <w:szCs w:val="32"/>
          <w:highlight w:val="none"/>
        </w:rPr>
        <w:t>2.保护管理方面。文物保护单位方面</w:t>
      </w:r>
      <w:r>
        <w:rPr>
          <w:rFonts w:hint="eastAsia" w:eastAsia="仿宋_GB2312"/>
          <w:b/>
          <w:bCs/>
          <w:color w:val="auto"/>
          <w:sz w:val="32"/>
          <w:szCs w:val="32"/>
          <w:highlight w:val="none"/>
        </w:rPr>
        <w:t>，</w:t>
      </w:r>
      <w:r>
        <w:rPr>
          <w:rFonts w:hint="eastAsia" w:eastAsia="仿宋_GB2312"/>
          <w:color w:val="auto"/>
          <w:sz w:val="32"/>
          <w:szCs w:val="32"/>
          <w:highlight w:val="none"/>
        </w:rPr>
        <w:t>我区已核定公布文物保护单位共有8</w:t>
      </w:r>
      <w:r>
        <w:rPr>
          <w:rFonts w:eastAsia="仿宋_GB2312"/>
          <w:color w:val="auto"/>
          <w:sz w:val="32"/>
          <w:szCs w:val="32"/>
          <w:highlight w:val="none"/>
        </w:rPr>
        <w:t>6</w:t>
      </w:r>
      <w:r>
        <w:rPr>
          <w:rFonts w:hint="eastAsia" w:eastAsia="仿宋_GB2312"/>
          <w:color w:val="auto"/>
          <w:sz w:val="32"/>
          <w:szCs w:val="32"/>
          <w:highlight w:val="none"/>
        </w:rPr>
        <w:t>处，尚未核定公布为文物保护单位的不可移动文物登记点为3</w:t>
      </w:r>
      <w:r>
        <w:rPr>
          <w:rFonts w:eastAsia="仿宋_GB2312"/>
          <w:color w:val="auto"/>
          <w:sz w:val="32"/>
          <w:szCs w:val="32"/>
          <w:highlight w:val="none"/>
        </w:rPr>
        <w:t>3</w:t>
      </w:r>
      <w:r>
        <w:rPr>
          <w:rFonts w:hint="eastAsia" w:eastAsia="仿宋_GB2312"/>
          <w:color w:val="auto"/>
          <w:sz w:val="32"/>
          <w:szCs w:val="32"/>
          <w:highlight w:val="none"/>
        </w:rPr>
        <w:t>处。目前各级文物保护单位均进行立碑挂牌保护，并建立记录档案。</w:t>
      </w:r>
      <w:r>
        <w:rPr>
          <w:rFonts w:hint="eastAsia" w:eastAsia="仿宋_GB2312"/>
          <w:b/>
          <w:bCs/>
          <w:color w:val="auto"/>
          <w:sz w:val="32"/>
          <w:szCs w:val="32"/>
          <w:highlight w:val="none"/>
        </w:rPr>
        <w:t>历史建筑保护方面</w:t>
      </w:r>
      <w:r>
        <w:rPr>
          <w:rFonts w:hint="eastAsia" w:eastAsia="仿宋_GB2312"/>
          <w:color w:val="auto"/>
          <w:sz w:val="32"/>
          <w:szCs w:val="32"/>
          <w:highlight w:val="none"/>
        </w:rPr>
        <w:t>，</w:t>
      </w:r>
      <w:r>
        <w:rPr>
          <w:rFonts w:hint="eastAsia" w:ascii="仿宋_GB2312" w:hAnsi="仿宋_GB2312" w:eastAsia="仿宋_GB2312" w:cs="仿宋_GB2312"/>
          <w:color w:val="auto"/>
          <w:sz w:val="32"/>
          <w:szCs w:val="32"/>
          <w:highlight w:val="none"/>
        </w:rPr>
        <w:t>我区现有历史地段鼓岭历史建筑群、协和大学历史建筑群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传统村落九峰村，均已</w:t>
      </w:r>
      <w:r>
        <w:rPr>
          <w:rFonts w:ascii="仿宋_GB2312" w:hAnsi="仿宋_GB2312" w:eastAsia="仿宋_GB2312" w:cs="仿宋_GB2312"/>
          <w:color w:val="auto"/>
          <w:sz w:val="32"/>
          <w:szCs w:val="32"/>
          <w:highlight w:val="none"/>
        </w:rPr>
        <w:t>设立</w:t>
      </w:r>
      <w:r>
        <w:rPr>
          <w:rFonts w:hint="eastAsia" w:ascii="仿宋_GB2312" w:hAnsi="仿宋_GB2312" w:eastAsia="仿宋_GB2312" w:cs="仿宋_GB2312"/>
          <w:color w:val="auto"/>
          <w:sz w:val="32"/>
          <w:szCs w:val="32"/>
          <w:highlight w:val="none"/>
        </w:rPr>
        <w:t>相应</w:t>
      </w:r>
      <w:r>
        <w:rPr>
          <w:rFonts w:ascii="仿宋_GB2312" w:hAnsi="仿宋_GB2312" w:eastAsia="仿宋_GB2312" w:cs="仿宋_GB2312"/>
          <w:color w:val="auto"/>
          <w:sz w:val="32"/>
          <w:szCs w:val="32"/>
          <w:highlight w:val="none"/>
        </w:rPr>
        <w:t>标志</w:t>
      </w:r>
      <w:r>
        <w:rPr>
          <w:rFonts w:hint="eastAsia" w:ascii="仿宋_GB2312" w:hAnsi="仿宋_GB2312" w:eastAsia="仿宋_GB2312" w:cs="仿宋_GB2312"/>
          <w:color w:val="auto"/>
          <w:sz w:val="32"/>
          <w:szCs w:val="32"/>
          <w:highlight w:val="none"/>
        </w:rPr>
        <w:t>标</w:t>
      </w:r>
      <w:r>
        <w:rPr>
          <w:rFonts w:ascii="仿宋_GB2312" w:hAnsi="仿宋_GB2312" w:eastAsia="仿宋_GB2312" w:cs="仿宋_GB2312"/>
          <w:color w:val="auto"/>
          <w:sz w:val="32"/>
          <w:szCs w:val="32"/>
          <w:highlight w:val="none"/>
        </w:rPr>
        <w:t>牌</w:t>
      </w:r>
      <w:r>
        <w:rPr>
          <w:rFonts w:hint="eastAsia" w:ascii="仿宋_GB2312" w:hAnsi="仿宋_GB2312" w:eastAsia="仿宋_GB2312" w:cs="仿宋_GB2312"/>
          <w:color w:val="auto"/>
          <w:sz w:val="32"/>
          <w:szCs w:val="32"/>
          <w:highlight w:val="none"/>
        </w:rPr>
        <w:t>，完成</w:t>
      </w:r>
      <w:r>
        <w:rPr>
          <w:rFonts w:ascii="仿宋_GB2312" w:hAnsi="仿宋_GB2312" w:eastAsia="仿宋_GB2312" w:cs="仿宋_GB2312"/>
          <w:color w:val="auto"/>
          <w:sz w:val="32"/>
          <w:szCs w:val="32"/>
          <w:highlight w:val="none"/>
        </w:rPr>
        <w:t>保护规划编制</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审批</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备案</w:t>
      </w:r>
      <w:r>
        <w:rPr>
          <w:rFonts w:hint="eastAsia" w:ascii="仿宋_GB2312" w:hAnsi="仿宋_GB2312" w:eastAsia="仿宋_GB2312" w:cs="仿宋_GB2312"/>
          <w:color w:val="auto"/>
          <w:sz w:val="32"/>
          <w:szCs w:val="32"/>
          <w:highlight w:val="none"/>
        </w:rPr>
        <w:t>等相关工作</w:t>
      </w:r>
      <w:r>
        <w:rPr>
          <w:rFonts w:hint="eastAsia" w:eastAsia="仿宋_GB2312"/>
          <w:color w:val="auto"/>
          <w:sz w:val="32"/>
          <w:szCs w:val="32"/>
          <w:highlight w:val="none"/>
        </w:rPr>
        <w:t>；已公布历史建筑3</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处</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传统风貌建筑13处</w:t>
      </w:r>
      <w:r>
        <w:rPr>
          <w:rFonts w:hint="eastAsia" w:eastAsia="仿宋_GB2312"/>
          <w:color w:val="auto"/>
          <w:sz w:val="32"/>
          <w:szCs w:val="32"/>
          <w:highlight w:val="none"/>
        </w:rPr>
        <w:t>已</w:t>
      </w:r>
      <w:r>
        <w:rPr>
          <w:rFonts w:eastAsia="仿宋_GB2312"/>
          <w:color w:val="auto"/>
          <w:sz w:val="32"/>
          <w:szCs w:val="32"/>
          <w:highlight w:val="none"/>
        </w:rPr>
        <w:t>设立标志牌</w:t>
      </w:r>
      <w:r>
        <w:rPr>
          <w:rFonts w:hint="eastAsia" w:eastAsia="仿宋_GB2312"/>
          <w:color w:val="auto"/>
          <w:sz w:val="32"/>
          <w:szCs w:val="32"/>
          <w:highlight w:val="none"/>
        </w:rPr>
        <w:t>，</w:t>
      </w:r>
      <w:r>
        <w:rPr>
          <w:rFonts w:hint="eastAsia" w:eastAsia="仿宋_GB2312"/>
          <w:color w:val="auto"/>
          <w:sz w:val="32"/>
          <w:szCs w:val="32"/>
          <w:highlight w:val="none"/>
          <w:lang w:val="en-US" w:eastAsia="zh-CN"/>
        </w:rPr>
        <w:t>已</w:t>
      </w:r>
      <w:r>
        <w:rPr>
          <w:rFonts w:hint="eastAsia" w:eastAsia="仿宋_GB2312"/>
          <w:color w:val="auto"/>
          <w:sz w:val="32"/>
          <w:szCs w:val="32"/>
          <w:highlight w:val="none"/>
        </w:rPr>
        <w:t>编制</w:t>
      </w:r>
      <w:r>
        <w:rPr>
          <w:rFonts w:hint="eastAsia" w:eastAsia="仿宋_GB2312"/>
          <w:color w:val="auto"/>
          <w:sz w:val="32"/>
          <w:szCs w:val="32"/>
          <w:highlight w:val="none"/>
          <w:lang w:val="en-US" w:eastAsia="zh-CN"/>
        </w:rPr>
        <w:t>完成前四批历史建筑</w:t>
      </w:r>
      <w:r>
        <w:rPr>
          <w:rFonts w:eastAsia="仿宋_GB2312"/>
          <w:color w:val="auto"/>
          <w:sz w:val="32"/>
          <w:szCs w:val="32"/>
          <w:highlight w:val="none"/>
        </w:rPr>
        <w:t>测绘建档、保护图则</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目前正在开展第五批历史建筑及第一批传统风貌建筑</w:t>
      </w:r>
      <w:r>
        <w:rPr>
          <w:rFonts w:eastAsia="仿宋_GB2312"/>
          <w:color w:val="auto"/>
          <w:sz w:val="32"/>
          <w:szCs w:val="32"/>
          <w:highlight w:val="none"/>
        </w:rPr>
        <w:t>测绘建档、保护图则</w:t>
      </w:r>
      <w:r>
        <w:rPr>
          <w:rFonts w:hint="eastAsia" w:eastAsia="仿宋_GB2312"/>
          <w:color w:val="auto"/>
          <w:sz w:val="32"/>
          <w:szCs w:val="32"/>
          <w:highlight w:val="none"/>
          <w:lang w:val="en-US" w:eastAsia="zh-CN"/>
        </w:rPr>
        <w:t>编制。</w:t>
      </w:r>
      <w:r>
        <w:rPr>
          <w:rFonts w:hint="eastAsia" w:eastAsia="仿宋_GB2312"/>
          <w:color w:val="auto"/>
          <w:sz w:val="32"/>
          <w:szCs w:val="32"/>
          <w:highlight w:val="none"/>
        </w:rPr>
        <w:t>其中上社26号、赤桥60号等</w:t>
      </w:r>
      <w:r>
        <w:rPr>
          <w:rFonts w:hint="eastAsia" w:eastAsia="仿宋_GB2312"/>
          <w:color w:val="auto"/>
          <w:sz w:val="32"/>
          <w:szCs w:val="32"/>
          <w:highlight w:val="none"/>
          <w:lang w:val="en-US" w:eastAsia="zh-CN"/>
        </w:rPr>
        <w:t>28</w:t>
      </w:r>
      <w:r>
        <w:rPr>
          <w:rFonts w:hint="eastAsia" w:eastAsia="仿宋_GB2312"/>
          <w:color w:val="auto"/>
          <w:sz w:val="32"/>
          <w:szCs w:val="32"/>
          <w:highlight w:val="none"/>
        </w:rPr>
        <w:t>处历史建筑</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传统风貌建筑</w:t>
      </w:r>
      <w:r>
        <w:rPr>
          <w:rFonts w:hint="eastAsia" w:eastAsia="仿宋_GB2312"/>
          <w:color w:val="auto"/>
          <w:sz w:val="32"/>
          <w:szCs w:val="32"/>
          <w:highlight w:val="none"/>
          <w:lang w:eastAsia="zh-CN"/>
        </w:rPr>
        <w:t>）</w:t>
      </w:r>
      <w:r>
        <w:rPr>
          <w:rFonts w:hint="eastAsia" w:eastAsia="仿宋_GB2312"/>
          <w:color w:val="auto"/>
          <w:sz w:val="32"/>
          <w:szCs w:val="32"/>
          <w:highlight w:val="none"/>
        </w:rPr>
        <w:t>已开展</w:t>
      </w:r>
      <w:r>
        <w:rPr>
          <w:rFonts w:eastAsia="仿宋_GB2312"/>
          <w:color w:val="auto"/>
          <w:sz w:val="32"/>
          <w:szCs w:val="32"/>
          <w:highlight w:val="none"/>
        </w:rPr>
        <w:t>保护修缮</w:t>
      </w:r>
      <w:r>
        <w:rPr>
          <w:rFonts w:hint="eastAsia" w:eastAsia="仿宋_GB2312"/>
          <w:color w:val="auto"/>
          <w:sz w:val="32"/>
          <w:szCs w:val="32"/>
          <w:highlight w:val="none"/>
        </w:rPr>
        <w:t>工作</w:t>
      </w:r>
      <w:r>
        <w:rPr>
          <w:rFonts w:eastAsia="仿宋_GB2312"/>
          <w:color w:val="auto"/>
          <w:sz w:val="32"/>
          <w:szCs w:val="32"/>
          <w:highlight w:val="none"/>
        </w:rPr>
        <w:t>；</w:t>
      </w:r>
      <w:r>
        <w:rPr>
          <w:rFonts w:hint="eastAsia" w:eastAsia="仿宋_GB2312"/>
          <w:color w:val="auto"/>
          <w:sz w:val="32"/>
          <w:szCs w:val="32"/>
          <w:highlight w:val="none"/>
        </w:rPr>
        <w:t>同时，</w:t>
      </w:r>
      <w:r>
        <w:rPr>
          <w:rFonts w:hint="eastAsia" w:ascii="仿宋_GB2312" w:hAnsi="仿宋_GB2312" w:eastAsia="仿宋_GB2312" w:cs="仿宋_GB2312"/>
          <w:color w:val="auto"/>
          <w:sz w:val="32"/>
          <w:szCs w:val="32"/>
          <w:highlight w:val="none"/>
        </w:rPr>
        <w:t>传统村落九峰村及</w:t>
      </w:r>
      <w:r>
        <w:rPr>
          <w:rFonts w:hint="eastAsia" w:ascii="仿宋_GB2312" w:hAnsi="仿宋_GB2312" w:eastAsia="仿宋_GB2312" w:cs="仿宋_GB2312"/>
          <w:color w:val="auto"/>
          <w:sz w:val="32"/>
          <w:szCs w:val="32"/>
          <w:highlight w:val="none"/>
          <w:lang w:val="en-US" w:eastAsia="zh-CN"/>
        </w:rPr>
        <w:t>前四批</w:t>
      </w:r>
      <w:r>
        <w:rPr>
          <w:rFonts w:hint="eastAsia" w:ascii="仿宋_GB2312" w:hAnsi="仿宋_GB2312" w:eastAsia="仿宋_GB2312" w:cs="仿宋_GB2312"/>
          <w:color w:val="auto"/>
          <w:sz w:val="32"/>
          <w:szCs w:val="32"/>
          <w:highlight w:val="none"/>
        </w:rPr>
        <w:t>35处已公布历史建筑均已录入</w:t>
      </w:r>
      <w:r>
        <w:rPr>
          <w:rFonts w:eastAsia="仿宋_GB2312"/>
          <w:color w:val="auto"/>
          <w:sz w:val="32"/>
          <w:szCs w:val="32"/>
          <w:highlight w:val="none"/>
        </w:rPr>
        <w:t>省级历史文化资源保护利用信息系统</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（三）保护管理责任落实情况。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_GB2312"/>
          <w:color w:val="auto"/>
          <w:sz w:val="32"/>
          <w:szCs w:val="32"/>
          <w:highlight w:val="none"/>
          <w:lang w:eastAsia="zh-CN"/>
        </w:rPr>
      </w:pPr>
      <w:r>
        <w:rPr>
          <w:rFonts w:eastAsia="仿宋_GB2312"/>
          <w:b/>
          <w:bCs/>
          <w:color w:val="auto"/>
          <w:sz w:val="32"/>
          <w:szCs w:val="32"/>
          <w:highlight w:val="none"/>
        </w:rPr>
        <w:t>1.</w:t>
      </w:r>
      <w:r>
        <w:rPr>
          <w:rFonts w:hint="eastAsia" w:eastAsia="仿宋_GB2312"/>
          <w:b/>
          <w:bCs/>
          <w:color w:val="auto"/>
          <w:sz w:val="32"/>
          <w:szCs w:val="32"/>
          <w:highlight w:val="none"/>
        </w:rPr>
        <w:t>明确职责分工。文物保护单位方面，</w:t>
      </w:r>
      <w:r>
        <w:rPr>
          <w:rFonts w:hint="eastAsia" w:ascii="仿宋" w:hAnsi="仿宋" w:eastAsia="仿宋"/>
          <w:color w:val="auto"/>
          <w:sz w:val="32"/>
          <w:szCs w:val="32"/>
          <w:highlight w:val="none"/>
        </w:rPr>
        <w:t>我区成立了晋安区文物局，挂靠区文体旅局，专门从事区文物保护日常工作</w:t>
      </w:r>
      <w:r>
        <w:rPr>
          <w:rFonts w:hint="eastAsia" w:ascii="仿宋_GB2312" w:hAnsi="仿宋_GB2312" w:eastAsia="仿宋_GB2312" w:cs="仿宋_GB2312"/>
          <w:color w:val="auto"/>
          <w:sz w:val="32"/>
          <w:szCs w:val="32"/>
          <w:highlight w:val="none"/>
        </w:rPr>
        <w:t>。</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年我区文物工作日常预算经费25万元，对不可移动文物修缮维护投入资金</w:t>
      </w:r>
      <w:r>
        <w:rPr>
          <w:rFonts w:hint="eastAsia" w:ascii="仿宋" w:hAnsi="仿宋" w:eastAsia="仿宋"/>
          <w:color w:val="auto"/>
          <w:sz w:val="32"/>
          <w:szCs w:val="32"/>
          <w:highlight w:val="none"/>
          <w:lang w:val="en-US" w:eastAsia="zh-CN"/>
        </w:rPr>
        <w:t>300</w:t>
      </w:r>
      <w:r>
        <w:rPr>
          <w:rFonts w:ascii="仿宋" w:hAnsi="仿宋" w:eastAsia="仿宋"/>
          <w:color w:val="auto"/>
          <w:sz w:val="32"/>
          <w:szCs w:val="32"/>
          <w:highlight w:val="none"/>
        </w:rPr>
        <w:t>万元</w:t>
      </w:r>
      <w:r>
        <w:rPr>
          <w:rFonts w:hint="eastAsia" w:ascii="仿宋" w:hAnsi="仿宋" w:eastAsia="仿宋"/>
          <w:color w:val="auto"/>
          <w:sz w:val="32"/>
          <w:szCs w:val="32"/>
          <w:highlight w:val="none"/>
        </w:rPr>
        <w:t>，并加大人防、物防、技防投入</w:t>
      </w:r>
      <w:r>
        <w:rPr>
          <w:rFonts w:ascii="仿宋" w:hAnsi="仿宋" w:eastAsia="仿宋"/>
          <w:color w:val="auto"/>
          <w:sz w:val="32"/>
          <w:szCs w:val="32"/>
          <w:highlight w:val="none"/>
        </w:rPr>
        <w:t>。</w:t>
      </w:r>
      <w:r>
        <w:rPr>
          <w:rFonts w:hint="eastAsia" w:ascii="仿宋_GB2312" w:hAnsi="仿宋_GB2312" w:eastAsia="仿宋_GB2312" w:cs="仿宋_GB2312"/>
          <w:b/>
          <w:bCs/>
          <w:color w:val="auto"/>
          <w:sz w:val="32"/>
          <w:szCs w:val="32"/>
          <w:highlight w:val="none"/>
        </w:rPr>
        <w:t>历史建筑保护方面，</w:t>
      </w:r>
      <w:r>
        <w:rPr>
          <w:rFonts w:hint="eastAsia" w:ascii="仿宋_GB2312" w:hAnsi="仿宋_GB2312" w:eastAsia="仿宋_GB2312" w:cs="仿宋_GB2312"/>
          <w:color w:val="auto"/>
          <w:sz w:val="32"/>
          <w:szCs w:val="32"/>
          <w:highlight w:val="none"/>
        </w:rPr>
        <w:t>成立</w:t>
      </w:r>
      <w:r>
        <w:rPr>
          <w:rFonts w:hint="eastAsia" w:eastAsia="仿宋_GB2312"/>
          <w:color w:val="auto"/>
          <w:sz w:val="32"/>
          <w:szCs w:val="32"/>
          <w:highlight w:val="none"/>
        </w:rPr>
        <w:t>特色历史建筑保护中心统筹协调辖区内传统村落、历史建筑</w:t>
      </w:r>
      <w:r>
        <w:rPr>
          <w:rFonts w:eastAsia="仿宋_GB2312"/>
          <w:color w:val="auto"/>
          <w:sz w:val="32"/>
          <w:szCs w:val="32"/>
          <w:highlight w:val="none"/>
        </w:rPr>
        <w:t>和传统风貌建筑</w:t>
      </w:r>
      <w:r>
        <w:rPr>
          <w:rFonts w:hint="eastAsia" w:eastAsia="仿宋_GB2312"/>
          <w:color w:val="auto"/>
          <w:sz w:val="32"/>
          <w:szCs w:val="32"/>
          <w:highlight w:val="none"/>
        </w:rPr>
        <w:t>资源保护、管理及利用工作。</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年我区</w:t>
      </w:r>
      <w:r>
        <w:rPr>
          <w:rFonts w:hint="eastAsia" w:ascii="仿宋" w:hAnsi="仿宋" w:eastAsia="仿宋"/>
          <w:color w:val="auto"/>
          <w:sz w:val="32"/>
          <w:szCs w:val="32"/>
          <w:highlight w:val="none"/>
          <w:lang w:eastAsia="zh-CN"/>
        </w:rPr>
        <w:t>历史建筑</w:t>
      </w:r>
      <w:r>
        <w:rPr>
          <w:rFonts w:ascii="仿宋" w:hAnsi="仿宋" w:eastAsia="仿宋"/>
          <w:color w:val="auto"/>
          <w:sz w:val="32"/>
          <w:szCs w:val="32"/>
          <w:highlight w:val="none"/>
        </w:rPr>
        <w:t>工作，对</w:t>
      </w:r>
      <w:r>
        <w:rPr>
          <w:rFonts w:hint="eastAsia" w:ascii="仿宋" w:hAnsi="仿宋" w:eastAsia="仿宋"/>
          <w:color w:val="auto"/>
          <w:sz w:val="32"/>
          <w:szCs w:val="32"/>
          <w:highlight w:val="none"/>
          <w:lang w:eastAsia="zh-CN"/>
        </w:rPr>
        <w:t>历史建筑修缮活化</w:t>
      </w:r>
      <w:r>
        <w:rPr>
          <w:rFonts w:hint="eastAsia" w:ascii="仿宋" w:hAnsi="仿宋" w:eastAsia="仿宋"/>
          <w:color w:val="auto"/>
          <w:sz w:val="32"/>
          <w:szCs w:val="32"/>
          <w:highlight w:val="none"/>
          <w:lang w:val="en-US" w:eastAsia="zh-CN"/>
        </w:rPr>
        <w:t>等</w:t>
      </w:r>
      <w:r>
        <w:rPr>
          <w:rFonts w:ascii="仿宋" w:hAnsi="仿宋" w:eastAsia="仿宋"/>
          <w:color w:val="auto"/>
          <w:sz w:val="32"/>
          <w:szCs w:val="32"/>
          <w:highlight w:val="none"/>
        </w:rPr>
        <w:t>投入资金</w:t>
      </w:r>
      <w:r>
        <w:rPr>
          <w:rFonts w:hint="eastAsia" w:ascii="仿宋" w:hAnsi="仿宋" w:eastAsia="仿宋"/>
          <w:color w:val="auto"/>
          <w:sz w:val="32"/>
          <w:szCs w:val="32"/>
          <w:highlight w:val="none"/>
        </w:rPr>
        <w:t>2</w:t>
      </w:r>
      <w:r>
        <w:rPr>
          <w:rFonts w:hint="eastAsia" w:ascii="仿宋" w:hAnsi="仿宋" w:eastAsia="仿宋"/>
          <w:color w:val="auto"/>
          <w:sz w:val="32"/>
          <w:szCs w:val="32"/>
          <w:highlight w:val="none"/>
          <w:lang w:val="en-US" w:eastAsia="zh-CN"/>
        </w:rPr>
        <w:t>000余</w:t>
      </w:r>
      <w:r>
        <w:rPr>
          <w:rFonts w:ascii="仿宋" w:hAnsi="仿宋" w:eastAsia="仿宋"/>
          <w:color w:val="auto"/>
          <w:sz w:val="32"/>
          <w:szCs w:val="32"/>
          <w:highlight w:val="none"/>
        </w:rPr>
        <w:t>万元。</w:t>
      </w:r>
    </w:p>
    <w:p>
      <w:pPr>
        <w:pStyle w:val="2"/>
        <w:numPr>
          <w:ilvl w:val="0"/>
          <w:numId w:val="0"/>
        </w:numPr>
        <w:spacing w:line="580" w:lineRule="exact"/>
        <w:ind w:firstLine="643" w:firstLineChars="200"/>
        <w:rPr>
          <w:rFonts w:hint="default" w:eastAsia="仿宋_GB2312"/>
          <w:color w:val="auto"/>
          <w:highlight w:val="none"/>
          <w:lang w:val="en-US" w:eastAsia="zh-CN"/>
        </w:rPr>
      </w:pPr>
      <w:r>
        <w:rPr>
          <w:rFonts w:eastAsia="仿宋_GB2312"/>
          <w:b/>
          <w:bCs/>
          <w:color w:val="auto"/>
          <w:sz w:val="32"/>
          <w:szCs w:val="32"/>
          <w:highlight w:val="none"/>
        </w:rPr>
        <w:t>2.</w:t>
      </w:r>
      <w:r>
        <w:rPr>
          <w:rFonts w:hint="eastAsia" w:eastAsia="仿宋_GB2312"/>
          <w:b/>
          <w:bCs/>
          <w:color w:val="auto"/>
          <w:sz w:val="32"/>
          <w:szCs w:val="32"/>
          <w:highlight w:val="none"/>
        </w:rPr>
        <w:t>强化规章制度建设</w:t>
      </w:r>
      <w:r>
        <w:rPr>
          <w:rFonts w:eastAsia="仿宋_GB2312"/>
          <w:b/>
          <w:bCs/>
          <w:color w:val="auto"/>
          <w:sz w:val="32"/>
          <w:szCs w:val="32"/>
          <w:highlight w:val="none"/>
        </w:rPr>
        <w:t>。</w:t>
      </w:r>
      <w:r>
        <w:rPr>
          <w:rFonts w:hint="eastAsia" w:ascii="仿宋" w:hAnsi="仿宋" w:eastAsia="仿宋"/>
          <w:b/>
          <w:bCs/>
          <w:color w:val="auto"/>
          <w:sz w:val="32"/>
          <w:szCs w:val="32"/>
          <w:highlight w:val="none"/>
        </w:rPr>
        <w:t>文物保护方面，</w:t>
      </w:r>
      <w:r>
        <w:rPr>
          <w:rFonts w:hint="eastAsia" w:ascii="仿宋" w:hAnsi="仿宋" w:eastAsia="仿宋"/>
          <w:color w:val="auto"/>
          <w:sz w:val="32"/>
          <w:szCs w:val="32"/>
          <w:highlight w:val="none"/>
        </w:rPr>
        <w:t>在文物保护机制方面，我区下发了《福州市晋安区关于进一步加强文物保护工作的通知》（榕晋政综〔</w:t>
      </w:r>
      <w:r>
        <w:rPr>
          <w:rFonts w:ascii="仿宋" w:hAnsi="仿宋" w:eastAsia="仿宋"/>
          <w:color w:val="auto"/>
          <w:sz w:val="32"/>
          <w:szCs w:val="32"/>
          <w:highlight w:val="none"/>
        </w:rPr>
        <w:t>2017〕168号）和《福州市晋安区人民政府办公室关于印发进一步加强文物保护工作机制的通知》（榕晋政办〔2020〕183号）、《晋安区人民政府关于建立不可移动文物安全直接责任人公告公示制度的通知》(榕晋政综〔2021〕18号)等指导性文件，要求各部门、各乡镇（街道）落实属地管理原则，明确在文物保护工作上的分工与职责，加强制度建设，夯实文物保护基础工作，形成各</w:t>
      </w:r>
      <w:r>
        <w:rPr>
          <w:rFonts w:hint="eastAsia" w:ascii="仿宋" w:hAnsi="仿宋" w:eastAsia="仿宋"/>
          <w:color w:val="auto"/>
          <w:sz w:val="32"/>
          <w:szCs w:val="32"/>
          <w:highlight w:val="none"/>
        </w:rPr>
        <w:t>部门齐抓共管的工作合力。辖区内所有不可移动文物均已落实文物安全直接责任人公告公示，明确文物安全管理人和安全工作人员，日常管理中通过网格化管理，注重加强安全管理，检查整改安全隐患，完善安全防护设施，组织评估文物安全风险，落实各项文物安全措施。</w:t>
      </w:r>
      <w:r>
        <w:rPr>
          <w:rFonts w:hint="eastAsia" w:ascii="仿宋_GB2312" w:hAnsi="仿宋_GB2312" w:eastAsia="仿宋_GB2312" w:cs="仿宋_GB2312"/>
          <w:b/>
          <w:bCs/>
          <w:color w:val="auto"/>
          <w:sz w:val="32"/>
          <w:szCs w:val="32"/>
          <w:highlight w:val="none"/>
        </w:rPr>
        <w:t>历史建筑保护方面，</w:t>
      </w:r>
      <w:r>
        <w:rPr>
          <w:rFonts w:hint="eastAsia" w:eastAsia="仿宋_GB2312"/>
          <w:color w:val="auto"/>
          <w:sz w:val="32"/>
          <w:szCs w:val="32"/>
          <w:highlight w:val="none"/>
        </w:rPr>
        <w:t>我区先后印发了《晋安区2021年古厝保护利用攻坚行动工作方案》（榕晋政办〔2021〕17号）、《进一步加强晋安区历史建筑保护管理工作的若干意见》（榕晋政办〔2021〕48号）等文件，并构建了“区政府—区级主管部门—属地乡镇（街）—责任人”四级管理责任体制，</w:t>
      </w:r>
      <w:r>
        <w:rPr>
          <w:rFonts w:hint="eastAsia" w:ascii="仿宋_GB2312" w:hAnsi="仿宋_GB2312" w:eastAsia="仿宋_GB2312" w:cs="仿宋_GB2312"/>
          <w:b w:val="0"/>
          <w:bCs w:val="0"/>
          <w:spacing w:val="0"/>
          <w:sz w:val="32"/>
          <w:szCs w:val="32"/>
          <w:lang w:val="en-US" w:eastAsia="zh-CN"/>
        </w:rPr>
        <w:t>落实有保留价值的老建筑保护工作</w:t>
      </w:r>
      <w:r>
        <w:rPr>
          <w:rFonts w:hint="eastAsia" w:ascii="仿宋_GB2312" w:hAnsi="仿宋_GB2312" w:eastAsia="仿宋_GB2312" w:cs="仿宋_GB2312"/>
          <w:kern w:val="0"/>
          <w:sz w:val="32"/>
          <w:szCs w:val="32"/>
        </w:rPr>
        <w:t>的管理单位和责任人</w:t>
      </w:r>
      <w:r>
        <w:rPr>
          <w:rFonts w:hint="eastAsia" w:ascii="仿宋_GB2312" w:hAnsi="仿宋_GB2312" w:eastAsia="仿宋_GB2312" w:cs="仿宋_GB2312"/>
          <w:kern w:val="0"/>
          <w:sz w:val="32"/>
          <w:szCs w:val="32"/>
          <w:lang w:eastAsia="zh-CN"/>
        </w:rPr>
        <w:t>，</w:t>
      </w:r>
      <w:r>
        <w:rPr>
          <w:rFonts w:hint="eastAsia" w:eastAsia="仿宋_GB2312"/>
          <w:color w:val="auto"/>
          <w:sz w:val="32"/>
          <w:szCs w:val="32"/>
          <w:highlight w:val="none"/>
          <w:lang w:val="en-US" w:eastAsia="zh-CN"/>
        </w:rPr>
        <w:t>明</w:t>
      </w:r>
      <w:r>
        <w:rPr>
          <w:rFonts w:hint="eastAsia" w:ascii="仿宋_GB2312" w:hAnsi="仿宋_GB2312" w:eastAsia="仿宋_GB2312" w:cs="仿宋_GB2312"/>
          <w:b w:val="0"/>
          <w:bCs w:val="0"/>
          <w:kern w:val="1"/>
          <w:sz w:val="32"/>
          <w:szCs w:val="32"/>
          <w:lang w:val="en-US" w:eastAsia="zh-CN" w:bidi="ar-SA"/>
        </w:rPr>
        <w:t>确“区级部门-乡镇-村居”各级部门、保护责任人工作职责，进一步规范管理保护建筑</w:t>
      </w:r>
      <w:r>
        <w:rPr>
          <w:rFonts w:hint="eastAsia" w:ascii="仿宋_GB2312" w:hAnsi="仿宋_GB2312" w:eastAsia="仿宋_GB2312" w:cs="仿宋_GB2312"/>
          <w:kern w:val="0"/>
          <w:sz w:val="32"/>
          <w:szCs w:val="32"/>
          <w:lang w:val="en-US" w:eastAsia="zh-CN"/>
        </w:rPr>
        <w:t>，压实保护责任，将日常保护工作落到实处。</w:t>
      </w:r>
    </w:p>
    <w:p>
      <w:pPr>
        <w:pStyle w:val="2"/>
        <w:numPr>
          <w:ilvl w:val="0"/>
          <w:numId w:val="0"/>
        </w:numPr>
        <w:spacing w:line="580" w:lineRule="exact"/>
        <w:ind w:firstLine="643" w:firstLineChars="200"/>
        <w:rPr>
          <w:rFonts w:ascii="仿宋" w:hAnsi="仿宋" w:eastAsia="仿宋"/>
          <w:color w:val="auto"/>
          <w:sz w:val="32"/>
          <w:szCs w:val="32"/>
          <w:highlight w:val="none"/>
        </w:rPr>
      </w:pPr>
      <w:r>
        <w:rPr>
          <w:rFonts w:hint="eastAsia" w:eastAsia="仿宋_GB2312"/>
          <w:b/>
          <w:bCs/>
          <w:color w:val="auto"/>
          <w:sz w:val="32"/>
          <w:szCs w:val="32"/>
          <w:highlight w:val="none"/>
        </w:rPr>
        <w:t>3</w:t>
      </w:r>
      <w:r>
        <w:rPr>
          <w:rFonts w:eastAsia="仿宋_GB2312"/>
          <w:b/>
          <w:bCs/>
          <w:color w:val="auto"/>
          <w:sz w:val="32"/>
          <w:szCs w:val="32"/>
          <w:highlight w:val="none"/>
        </w:rPr>
        <w:t>.</w:t>
      </w:r>
      <w:r>
        <w:rPr>
          <w:rFonts w:hint="eastAsia" w:eastAsia="仿宋_GB2312"/>
          <w:b/>
          <w:bCs/>
          <w:color w:val="auto"/>
          <w:sz w:val="32"/>
          <w:szCs w:val="32"/>
          <w:highlight w:val="none"/>
        </w:rPr>
        <w:t>落实日常巡查管理</w:t>
      </w:r>
      <w:r>
        <w:rPr>
          <w:rFonts w:eastAsia="仿宋_GB2312"/>
          <w:b/>
          <w:bCs/>
          <w:color w:val="auto"/>
          <w:sz w:val="32"/>
          <w:szCs w:val="32"/>
          <w:highlight w:val="none"/>
        </w:rPr>
        <w:t>。</w:t>
      </w:r>
      <w:r>
        <w:rPr>
          <w:rFonts w:hint="eastAsia" w:eastAsia="仿宋_GB2312"/>
          <w:b/>
          <w:bCs/>
          <w:color w:val="auto"/>
          <w:sz w:val="32"/>
          <w:szCs w:val="32"/>
          <w:highlight w:val="none"/>
        </w:rPr>
        <w:t>文物保护方面，</w:t>
      </w:r>
      <w:r>
        <w:rPr>
          <w:rFonts w:eastAsia="仿宋_GB2312"/>
          <w:color w:val="auto"/>
          <w:sz w:val="32"/>
          <w:szCs w:val="32"/>
          <w:highlight w:val="none"/>
        </w:rPr>
        <w:t>文物日常</w:t>
      </w:r>
      <w:r>
        <w:rPr>
          <w:rFonts w:hint="eastAsia" w:eastAsia="仿宋_GB2312"/>
          <w:color w:val="auto"/>
          <w:sz w:val="32"/>
          <w:szCs w:val="32"/>
          <w:highlight w:val="none"/>
        </w:rPr>
        <w:t>督查、检查、</w:t>
      </w:r>
      <w:r>
        <w:rPr>
          <w:rFonts w:eastAsia="仿宋_GB2312"/>
          <w:color w:val="auto"/>
          <w:sz w:val="32"/>
          <w:szCs w:val="32"/>
          <w:highlight w:val="none"/>
        </w:rPr>
        <w:t>巡查工作。</w:t>
      </w:r>
      <w:r>
        <w:rPr>
          <w:rFonts w:hint="eastAsia" w:eastAsia="仿宋_GB2312"/>
          <w:color w:val="auto"/>
          <w:sz w:val="32"/>
          <w:szCs w:val="32"/>
          <w:highlight w:val="none"/>
        </w:rPr>
        <w:t>建立并落实《晋安区文物办（科）文物保护工作职责》、《晋安区文物安全工作制度》、《晋安区文物建筑保护管理制度》、《晋安区文物巡查工作制度》等工作制度。</w:t>
      </w:r>
      <w:r>
        <w:rPr>
          <w:rFonts w:eastAsia="仿宋_GB2312"/>
          <w:color w:val="auto"/>
          <w:sz w:val="32"/>
          <w:szCs w:val="32"/>
          <w:highlight w:val="none"/>
        </w:rPr>
        <w:t>为准确掌握辖区内文物保护单位状况，全面做好文物防火、防盗、防潮、防损等隐患排查工作，确保巡查检查全覆盖</w:t>
      </w:r>
      <w:r>
        <w:rPr>
          <w:rFonts w:hint="eastAsia" w:eastAsia="仿宋_GB2312"/>
          <w:color w:val="auto"/>
          <w:sz w:val="32"/>
          <w:szCs w:val="32"/>
          <w:highlight w:val="none"/>
        </w:rPr>
        <w:t>。</w:t>
      </w:r>
      <w:r>
        <w:rPr>
          <w:rFonts w:hint="eastAsia" w:eastAsia="仿宋_GB2312"/>
          <w:b/>
          <w:bCs/>
          <w:color w:val="auto"/>
          <w:sz w:val="32"/>
          <w:szCs w:val="32"/>
          <w:highlight w:val="none"/>
        </w:rPr>
        <w:t>历史建筑保护方面，</w:t>
      </w:r>
      <w:r>
        <w:rPr>
          <w:rFonts w:hint="eastAsia" w:ascii="仿宋_GB2312" w:hAnsi="宋体" w:eastAsia="仿宋_GB2312"/>
          <w:sz w:val="32"/>
          <w:szCs w:val="32"/>
          <w:lang w:val="en-US" w:eastAsia="zh-CN"/>
        </w:rPr>
        <w:t>区、乡镇（街道）、社区（村居）、征收实施单位等逐年签订保护责任书，明确建筑安全、消防工作要求，层层落实管理责任，实施网格化管理。</w:t>
      </w:r>
      <w:r>
        <w:rPr>
          <w:rFonts w:hint="eastAsia" w:ascii="仿宋" w:hAnsi="仿宋" w:eastAsia="仿宋"/>
          <w:color w:val="auto"/>
          <w:sz w:val="32"/>
          <w:szCs w:val="32"/>
          <w:highlight w:val="none"/>
        </w:rPr>
        <w:t>同时</w:t>
      </w:r>
      <w:r>
        <w:rPr>
          <w:rFonts w:hint="eastAsia" w:ascii="仿宋_GB2312" w:hAnsi="仿宋_GB2312" w:eastAsia="仿宋_GB2312" w:cs="仿宋_GB2312"/>
          <w:color w:val="auto"/>
          <w:sz w:val="32"/>
          <w:szCs w:val="32"/>
          <w:highlight w:val="none"/>
        </w:rPr>
        <w:t>根据属地管理原则，</w:t>
      </w:r>
      <w:r>
        <w:rPr>
          <w:rFonts w:hint="eastAsia" w:eastAsia="仿宋_GB2312"/>
          <w:color w:val="auto"/>
          <w:sz w:val="32"/>
          <w:szCs w:val="32"/>
          <w:highlight w:val="none"/>
        </w:rPr>
        <w:t>每月</w:t>
      </w:r>
      <w:r>
        <w:rPr>
          <w:rFonts w:hint="eastAsia" w:eastAsia="仿宋_GB2312"/>
          <w:color w:val="auto"/>
          <w:sz w:val="32"/>
          <w:szCs w:val="32"/>
          <w:highlight w:val="none"/>
          <w:lang w:val="en-US" w:eastAsia="zh-CN"/>
        </w:rPr>
        <w:t>定期</w:t>
      </w:r>
      <w:r>
        <w:rPr>
          <w:rFonts w:hint="eastAsia" w:eastAsia="仿宋_GB2312"/>
          <w:color w:val="auto"/>
          <w:sz w:val="32"/>
          <w:szCs w:val="32"/>
          <w:highlight w:val="none"/>
        </w:rPr>
        <w:t>开展巡查工作，</w:t>
      </w:r>
      <w:r>
        <w:rPr>
          <w:rFonts w:hint="eastAsia" w:eastAsia="仿宋_GB2312"/>
          <w:color w:val="auto"/>
          <w:sz w:val="32"/>
          <w:szCs w:val="32"/>
          <w:highlight w:val="none"/>
          <w:lang w:val="en-US" w:eastAsia="zh-CN"/>
        </w:rPr>
        <w:t>并形成台账管理，</w:t>
      </w:r>
      <w:r>
        <w:rPr>
          <w:rFonts w:hint="eastAsia" w:eastAsia="仿宋_GB2312"/>
          <w:color w:val="auto"/>
          <w:sz w:val="32"/>
          <w:szCs w:val="32"/>
          <w:highlight w:val="none"/>
        </w:rPr>
        <w:t>对发现的问题及时落实整改，确保建筑安全。</w:t>
      </w:r>
    </w:p>
    <w:p>
      <w:pPr>
        <w:pStyle w:val="13"/>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default" w:ascii="仿宋_GB2312" w:hAnsi="仿宋_GB2312" w:eastAsia="仿宋_GB2312" w:cs="仿宋_GB2312"/>
          <w:color w:val="auto"/>
          <w:sz w:val="32"/>
          <w:szCs w:val="32"/>
          <w:highlight w:val="none"/>
          <w:lang w:val="en-US" w:eastAsia="zh-CN"/>
        </w:rPr>
      </w:pPr>
      <w:r>
        <w:rPr>
          <w:rFonts w:ascii="Times New Roman" w:hAnsi="Times New Roman" w:eastAsia="仿宋_GB2312" w:cs="Times New Roman"/>
          <w:b/>
          <w:bCs/>
          <w:color w:val="auto"/>
          <w:sz w:val="32"/>
          <w:szCs w:val="32"/>
          <w:highlight w:val="none"/>
        </w:rPr>
        <w:t>4.城市更新过程中保护责任落实情况。</w:t>
      </w:r>
      <w:r>
        <w:rPr>
          <w:rFonts w:hint="eastAsia" w:ascii="仿宋_GB2312" w:hAnsi="仿宋_GB2312" w:eastAsia="仿宋_GB2312" w:cs="仿宋_GB2312"/>
          <w:color w:val="auto"/>
          <w:kern w:val="0"/>
          <w:sz w:val="32"/>
          <w:szCs w:val="32"/>
          <w:highlight w:val="none"/>
          <w:lang w:bidi="ar"/>
        </w:rPr>
        <w:t>我区全面落实省政府“关于加强历史文化名城名镇名村传统村落和文物建筑历史建筑传统风貌建筑保护利用九条措施”，转发《加强历史文化名城名镇名村传统村落和文物建筑历史建筑传统风貌建筑保护利用九条措施》（榕晋政办</w:t>
      </w:r>
      <w:r>
        <w:rPr>
          <w:rFonts w:ascii="Times New Roman" w:hAnsi="Times New Roman" w:eastAsia="仿宋_GB2312" w:cs="Times New Roman"/>
          <w:color w:val="auto"/>
          <w:sz w:val="32"/>
          <w:szCs w:val="32"/>
          <w:highlight w:val="none"/>
        </w:rPr>
        <w:t>〔2020〕</w:t>
      </w:r>
      <w:r>
        <w:rPr>
          <w:rFonts w:hint="eastAsia" w:ascii="仿宋_GB2312" w:hAnsi="仿宋_GB2312" w:eastAsia="仿宋_GB2312" w:cs="仿宋_GB2312"/>
          <w:color w:val="auto"/>
          <w:kern w:val="0"/>
          <w:sz w:val="32"/>
          <w:szCs w:val="32"/>
          <w:highlight w:val="none"/>
          <w:lang w:bidi="ar"/>
        </w:rPr>
        <w:t>176号），并制定印发了《进一步加强晋安区历史建筑保护管理工作的若干意见》（榕晋政办</w:t>
      </w:r>
      <w:r>
        <w:rPr>
          <w:rFonts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rPr>
        <w:t>〕</w:t>
      </w:r>
      <w:r>
        <w:rPr>
          <w:rFonts w:hint="eastAsia" w:ascii="仿宋_GB2312" w:hAnsi="仿宋_GB2312" w:eastAsia="仿宋_GB2312" w:cs="仿宋_GB2312"/>
          <w:color w:val="auto"/>
          <w:kern w:val="0"/>
          <w:sz w:val="32"/>
          <w:szCs w:val="32"/>
          <w:highlight w:val="none"/>
          <w:lang w:bidi="ar"/>
        </w:rPr>
        <w:t>48号），进一步明</w:t>
      </w:r>
      <w:r>
        <w:rPr>
          <w:rFonts w:hint="eastAsia" w:ascii="仿宋_GB2312" w:hAnsi="仿宋_GB2312" w:eastAsia="仿宋_GB2312" w:cs="仿宋_GB2312"/>
          <w:color w:val="auto"/>
          <w:sz w:val="32"/>
          <w:szCs w:val="32"/>
          <w:highlight w:val="none"/>
        </w:rPr>
        <w:t>确旧改地块在征迁实施前，要对地块内历史建筑编制保护方案，并对50年以上建筑进行普查甄别，开展文化资源评估论证，提出文化遗产和风貌保护措施，否则不得做出房屋征收决定。202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年，我区后屿片区旧改地块、</w:t>
      </w:r>
      <w:r>
        <w:rPr>
          <w:rFonts w:hint="eastAsia" w:ascii="仿宋_GB2312" w:hAnsi="仿宋_GB2312" w:eastAsia="仿宋_GB2312" w:cs="仿宋_GB2312"/>
          <w:color w:val="auto"/>
          <w:sz w:val="32"/>
          <w:szCs w:val="32"/>
          <w:highlight w:val="none"/>
          <w:lang w:val="en-US" w:eastAsia="zh-CN"/>
        </w:rPr>
        <w:t>新店棚户区改造项目K地块及周边地块、晋安区埠兴片三环新苑四期地块等</w:t>
      </w:r>
      <w:r>
        <w:rPr>
          <w:rFonts w:hint="eastAsia" w:ascii="仿宋_GB2312" w:hAnsi="仿宋_GB2312" w:eastAsia="仿宋_GB2312" w:cs="仿宋_GB2312"/>
          <w:color w:val="auto"/>
          <w:sz w:val="32"/>
          <w:szCs w:val="32"/>
          <w:highlight w:val="none"/>
        </w:rPr>
        <w:t>由业主单位委托市规划、市城乡院等单位编制《评估报告》。其中：</w:t>
      </w:r>
      <w:r>
        <w:rPr>
          <w:rFonts w:hint="eastAsia" w:ascii="仿宋_GB2312" w:hAnsi="仿宋_GB2312" w:eastAsia="仿宋_GB2312" w:cs="仿宋_GB2312"/>
          <w:color w:val="auto"/>
          <w:sz w:val="32"/>
          <w:szCs w:val="32"/>
          <w:highlight w:val="none"/>
          <w:lang w:val="en-US" w:eastAsia="zh-CN"/>
        </w:rPr>
        <w:t>新店棚户区改造项目K地块及周边地块、晋安区埠兴片三环新苑四期地块</w:t>
      </w:r>
      <w:r>
        <w:rPr>
          <w:rFonts w:hint="eastAsia" w:ascii="仿宋_GB2312" w:hAnsi="仿宋_GB2312" w:eastAsia="仿宋_GB2312" w:cs="仿宋_GB2312"/>
          <w:color w:val="auto"/>
          <w:sz w:val="32"/>
          <w:szCs w:val="32"/>
          <w:highlight w:val="none"/>
        </w:rPr>
        <w:t>等《评估报告》已通过市政府批复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后屿片区旧改地块《评估报告》</w:t>
      </w:r>
      <w:r>
        <w:rPr>
          <w:rFonts w:hint="eastAsia" w:ascii="仿宋_GB2312" w:hAnsi="仿宋_GB2312" w:eastAsia="仿宋_GB2312" w:cs="仿宋_GB2312"/>
          <w:color w:val="auto"/>
          <w:sz w:val="32"/>
          <w:szCs w:val="32"/>
          <w:highlight w:val="none"/>
          <w:lang w:val="en-US" w:eastAsia="zh-CN"/>
        </w:rPr>
        <w:t>已完成公示并报送市名城委。</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（四）保护利用工作成效。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color w:val="auto"/>
          <w:sz w:val="32"/>
          <w:szCs w:val="32"/>
          <w:highlight w:val="none"/>
        </w:rPr>
      </w:pPr>
      <w:r>
        <w:rPr>
          <w:rFonts w:hint="eastAsia" w:eastAsia="仿宋_GB2312"/>
          <w:b/>
          <w:bCs/>
          <w:color w:val="auto"/>
          <w:sz w:val="32"/>
          <w:szCs w:val="32"/>
          <w:highlight w:val="none"/>
          <w:lang w:val="en-US" w:eastAsia="zh-CN"/>
        </w:rPr>
        <w:t>1</w:t>
      </w:r>
      <w:r>
        <w:rPr>
          <w:rFonts w:eastAsia="仿宋_GB2312"/>
          <w:b/>
          <w:bCs/>
          <w:color w:val="auto"/>
          <w:sz w:val="32"/>
          <w:szCs w:val="32"/>
          <w:highlight w:val="none"/>
        </w:rPr>
        <w:t>.</w:t>
      </w:r>
      <w:r>
        <w:rPr>
          <w:rFonts w:hint="eastAsia" w:eastAsia="仿宋_GB2312"/>
          <w:b/>
          <w:bCs/>
          <w:color w:val="auto"/>
          <w:sz w:val="32"/>
          <w:szCs w:val="32"/>
          <w:highlight w:val="none"/>
        </w:rPr>
        <w:t>鼓岭历史建筑群保护情况。</w:t>
      </w:r>
      <w:r>
        <w:rPr>
          <w:rFonts w:hint="eastAsia" w:ascii="仿宋_GB2312" w:hAnsi="仿宋_GB2312" w:eastAsia="仿宋_GB2312" w:cs="仿宋_GB2312"/>
          <w:color w:val="auto"/>
          <w:sz w:val="32"/>
          <w:szCs w:val="32"/>
          <w:highlight w:val="none"/>
        </w:rPr>
        <w:t>鼓岭历史建筑群由福州市鼓岭旅游度假区管理委员会全面落实保护相关工作。2023年</w:t>
      </w:r>
      <w:r>
        <w:rPr>
          <w:rFonts w:hint="eastAsia" w:ascii="仿宋_GB2312" w:hAnsi="仿宋_GB2312" w:eastAsia="仿宋_GB2312" w:cs="仿宋_GB2312"/>
          <w:color w:val="auto"/>
          <w:sz w:val="32"/>
          <w:szCs w:val="32"/>
          <w:highlight w:val="none"/>
          <w:lang w:val="en-US" w:eastAsia="zh-CN"/>
        </w:rPr>
        <w:t>把</w:t>
      </w:r>
      <w:r>
        <w:rPr>
          <w:rFonts w:hint="eastAsia" w:ascii="仿宋_GB2312" w:hAnsi="仿宋_GB2312" w:eastAsia="仿宋_GB2312" w:cs="仿宋_GB2312"/>
          <w:color w:val="auto"/>
          <w:sz w:val="32"/>
          <w:szCs w:val="32"/>
          <w:highlight w:val="none"/>
        </w:rPr>
        <w:t>历史文化保护利用工作与全面提升</w:t>
      </w:r>
      <w:r>
        <w:rPr>
          <w:rFonts w:hint="eastAsia" w:ascii="仿宋_GB2312" w:hAnsi="仿宋_GB2312" w:eastAsia="仿宋_GB2312" w:cs="仿宋_GB2312"/>
          <w:color w:val="auto"/>
          <w:sz w:val="32"/>
          <w:szCs w:val="32"/>
          <w:highlight w:val="none"/>
          <w:lang w:val="en-US" w:eastAsia="zh-CN"/>
        </w:rPr>
        <w:t>旅游</w:t>
      </w:r>
      <w:r>
        <w:rPr>
          <w:rFonts w:hint="eastAsia" w:ascii="仿宋_GB2312" w:hAnsi="仿宋_GB2312" w:eastAsia="仿宋_GB2312" w:cs="仿宋_GB2312"/>
          <w:color w:val="auto"/>
          <w:sz w:val="32"/>
          <w:szCs w:val="32"/>
          <w:highlight w:val="none"/>
        </w:rPr>
        <w:t>发展建设有机结合，由点及面地推进工作。</w:t>
      </w:r>
      <w:r>
        <w:rPr>
          <w:rFonts w:hint="eastAsia" w:ascii="仿宋_GB2312" w:hAnsi="仿宋_GB2312" w:eastAsia="仿宋_GB2312" w:cs="仿宋_GB2312"/>
          <w:b/>
          <w:bCs/>
          <w:color w:val="auto"/>
          <w:sz w:val="32"/>
          <w:szCs w:val="32"/>
          <w:highlight w:val="none"/>
        </w:rPr>
        <w:t>一是抓规划，夯实古厝基础。</w:t>
      </w:r>
      <w:r>
        <w:rPr>
          <w:rFonts w:hint="eastAsia" w:ascii="仿宋_GB2312" w:hAnsi="仿宋_GB2312" w:eastAsia="仿宋_GB2312" w:cs="仿宋_GB2312"/>
          <w:color w:val="auto"/>
          <w:sz w:val="32"/>
          <w:szCs w:val="32"/>
          <w:highlight w:val="none"/>
        </w:rPr>
        <w:t>按照古厝保护理念，结合旅游发展，进一步强化顶层设计，对各类规划进行精准化设计提升。</w:t>
      </w:r>
      <w:r>
        <w:rPr>
          <w:rFonts w:hint="eastAsia" w:ascii="仿宋_GB2312" w:hAnsi="仿宋_GB2312" w:eastAsia="仿宋_GB2312" w:cs="仿宋_GB2312"/>
          <w:b/>
          <w:bCs/>
          <w:color w:val="auto"/>
          <w:sz w:val="32"/>
          <w:szCs w:val="32"/>
          <w:highlight w:val="none"/>
        </w:rPr>
        <w:t>二是抓风貌，改善古厝保护环境。</w:t>
      </w:r>
      <w:r>
        <w:rPr>
          <w:rFonts w:hint="eastAsia" w:ascii="仿宋_GB2312" w:hAnsi="仿宋_GB2312" w:eastAsia="仿宋_GB2312" w:cs="仿宋_GB2312"/>
          <w:color w:val="auto"/>
          <w:sz w:val="32"/>
          <w:szCs w:val="32"/>
          <w:highlight w:val="none"/>
        </w:rPr>
        <w:t>牵头组织对核心区内建筑开展集中整治，严把项目规划审批关，落实项目建设“挂牌”施工，加强全过程实时监管。</w:t>
      </w:r>
      <w:r>
        <w:rPr>
          <w:rFonts w:hint="eastAsia" w:ascii="仿宋_GB2312" w:hAnsi="仿宋_GB2312" w:eastAsia="仿宋_GB2312" w:cs="仿宋_GB2312"/>
          <w:b/>
          <w:bCs/>
          <w:color w:val="auto"/>
          <w:sz w:val="32"/>
          <w:szCs w:val="32"/>
          <w:highlight w:val="none"/>
        </w:rPr>
        <w:t>三是抓修复，强化古厝保护力度。</w:t>
      </w:r>
      <w:r>
        <w:rPr>
          <w:rFonts w:hint="eastAsia" w:ascii="仿宋_GB2312" w:hAnsi="仿宋_GB2312" w:eastAsia="仿宋_GB2312" w:cs="仿宋_GB2312"/>
          <w:color w:val="auto"/>
          <w:sz w:val="32"/>
          <w:szCs w:val="32"/>
          <w:highlight w:val="none"/>
        </w:rPr>
        <w:t>全面完成禅臣别墅、庐隐老东家等古厝修复提升，同时对挖掘整理老建筑背后文化积淀、历史故事，完成梅森古堡、游泳池、麦先生厝、柏龄威别墅等6处文化内涵展示，并建立“一厝一档”资料库。</w:t>
      </w:r>
      <w:r>
        <w:rPr>
          <w:rFonts w:hint="eastAsia" w:ascii="仿宋_GB2312" w:hAnsi="仿宋_GB2312" w:eastAsia="仿宋_GB2312" w:cs="仿宋_GB2312"/>
          <w:b/>
          <w:bCs/>
          <w:color w:val="auto"/>
          <w:sz w:val="32"/>
          <w:szCs w:val="32"/>
          <w:highlight w:val="none"/>
        </w:rPr>
        <w:t>四是抓内涵，做好古厝保护传承。</w:t>
      </w:r>
      <w:r>
        <w:rPr>
          <w:rFonts w:hint="eastAsia" w:ascii="仿宋_GB2312" w:hAnsi="仿宋_GB2312" w:eastAsia="仿宋_GB2312" w:cs="仿宋_GB2312"/>
          <w:color w:val="auto"/>
          <w:sz w:val="32"/>
          <w:szCs w:val="32"/>
          <w:highlight w:val="none"/>
        </w:rPr>
        <w:t>尊重鼓岭、鼓山古厝的发展历史，在完成老建筑、老别墅建筑普查落图工作的基础上，结合地理位置和历史背景，深入挖掘每栋别墅背后的历史故事，收集、整理、研究鼓岭历史文化、人物活动、中外故事等资料，丰富鼓岭文化的内容，进一步讲好“鼓岭故事”。</w:t>
      </w:r>
      <w:r>
        <w:rPr>
          <w:rFonts w:hint="eastAsia" w:ascii="仿宋_GB2312" w:hAnsi="仿宋_GB2312" w:eastAsia="仿宋_GB2312" w:cs="仿宋_GB2312"/>
          <w:b/>
          <w:bCs/>
          <w:color w:val="auto"/>
          <w:sz w:val="32"/>
          <w:szCs w:val="32"/>
          <w:highlight w:val="none"/>
        </w:rPr>
        <w:t>五是抓运营，活用古厝保护成果。</w:t>
      </w:r>
      <w:r>
        <w:rPr>
          <w:rFonts w:hint="eastAsia" w:ascii="仿宋_GB2312" w:hAnsi="仿宋_GB2312" w:eastAsia="仿宋_GB2312" w:cs="仿宋_GB2312"/>
          <w:color w:val="auto"/>
          <w:sz w:val="32"/>
          <w:szCs w:val="32"/>
          <w:highlight w:val="none"/>
        </w:rPr>
        <w:t>对修复完成的古厝别墅积极探索“活化利用”模式，通过还原历史场景、植入文化内涵、引进特色业态、举办特色活动等形式，把古厝魅力、底蕴、价值进一步展示出来、运用起来。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Cs/>
          <w:color w:val="auto"/>
          <w:sz w:val="32"/>
          <w:szCs w:val="32"/>
          <w:highlight w:val="none"/>
          <w:lang w:val="en-US" w:eastAsia="zh-CN"/>
        </w:rPr>
      </w:pPr>
      <w:r>
        <w:rPr>
          <w:rFonts w:hint="eastAsia" w:eastAsia="仿宋_GB2312"/>
          <w:b/>
          <w:bCs/>
          <w:color w:val="auto"/>
          <w:sz w:val="32"/>
          <w:szCs w:val="32"/>
          <w:highlight w:val="none"/>
          <w:lang w:val="en-US" w:eastAsia="zh-CN"/>
        </w:rPr>
        <w:t>2</w:t>
      </w:r>
      <w:r>
        <w:rPr>
          <w:rFonts w:eastAsia="仿宋_GB2312"/>
          <w:b/>
          <w:bCs/>
          <w:color w:val="auto"/>
          <w:sz w:val="32"/>
          <w:szCs w:val="32"/>
          <w:highlight w:val="none"/>
        </w:rPr>
        <w:t>.</w:t>
      </w:r>
      <w:r>
        <w:rPr>
          <w:rFonts w:hint="eastAsia" w:eastAsia="仿宋_GB2312"/>
          <w:b/>
          <w:bCs/>
          <w:color w:val="auto"/>
          <w:sz w:val="32"/>
          <w:szCs w:val="32"/>
          <w:highlight w:val="none"/>
        </w:rPr>
        <w:t>协和大学历史建筑群保护情况。</w:t>
      </w:r>
      <w:r>
        <w:rPr>
          <w:rFonts w:hint="eastAsia" w:ascii="仿宋" w:hAnsi="仿宋" w:eastAsia="仿宋" w:cs="仿宋"/>
          <w:bCs/>
          <w:color w:val="auto"/>
          <w:sz w:val="32"/>
          <w:szCs w:val="32"/>
          <w:highlight w:val="none"/>
          <w:lang w:val="en-US" w:eastAsia="zh-CN"/>
        </w:rPr>
        <w:t>校长楼、W11教职宿舍、W04教职宿舍、W06教职宿舍4处已由市文物局完成修缮。其中校长楼也同步活化利用。已完成了校区大门至校长楼区间步道改造和沿线的景观整治工作，并已移交晋安区园林局做好现场管理和维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目前，根据《关于研究福建协和大学旧址保护利用项目实施方案的纪要》（[2022]78号）和市政府办公厅文件办理告知单（编号：GZ2022WJ00379号）精神，由市城乡建总负责，分两期推进保护修缮工作，本期先实施文学楼、理学楼、光荣楼和光华楼4处文保建筑屋面修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lang w:val="en-US" w:eastAsia="zh-CN"/>
        </w:rPr>
      </w:pPr>
      <w:r>
        <w:rPr>
          <w:rFonts w:hint="eastAsia" w:eastAsia="仿宋_GB2312"/>
          <w:b/>
          <w:bCs/>
          <w:color w:val="auto"/>
          <w:sz w:val="32"/>
          <w:szCs w:val="32"/>
          <w:highlight w:val="none"/>
          <w:lang w:val="en-US" w:eastAsia="zh-CN"/>
        </w:rPr>
        <w:t>3</w:t>
      </w:r>
      <w:r>
        <w:rPr>
          <w:rFonts w:eastAsia="仿宋_GB2312"/>
          <w:b/>
          <w:bCs/>
          <w:color w:val="auto"/>
          <w:sz w:val="32"/>
          <w:szCs w:val="32"/>
          <w:highlight w:val="none"/>
        </w:rPr>
        <w:t>.</w:t>
      </w:r>
      <w:r>
        <w:rPr>
          <w:rFonts w:hint="eastAsia" w:eastAsia="仿宋_GB2312"/>
          <w:b/>
          <w:bCs/>
          <w:color w:val="auto"/>
          <w:sz w:val="32"/>
          <w:szCs w:val="32"/>
          <w:highlight w:val="none"/>
        </w:rPr>
        <w:t>九峰村保护情况</w:t>
      </w:r>
      <w:r>
        <w:rPr>
          <w:rFonts w:hint="eastAsia" w:eastAsia="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已完成“十镇百村”九峰村传统村落编制工作，以及九峰村南阳陈氏“文魁”府、南阳乡村会客厅、九峰村南阳书院、九峰村蝈蝀坑岳氏老宅、九峰村蝈蝀坑王氏老宅等5座传统建筑修缮活化利用；完成了南阳自然村环境整治、南阳古桥、南阳古堤坝、赖婆里古桥等多处村庄历史环境要素的修复；对村庄文化旅游地图开展编制并设立了界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color w:val="auto"/>
          <w:sz w:val="32"/>
          <w:szCs w:val="32"/>
          <w:lang w:val="en-US" w:eastAsia="zh-CN"/>
        </w:rPr>
      </w:pPr>
      <w:r>
        <w:rPr>
          <w:rFonts w:eastAsia="仿宋_GB2312"/>
          <w:b/>
          <w:bCs/>
          <w:color w:val="auto"/>
          <w:sz w:val="32"/>
          <w:szCs w:val="32"/>
          <w:highlight w:val="none"/>
        </w:rPr>
        <w:t>4.</w:t>
      </w:r>
      <w:r>
        <w:rPr>
          <w:rFonts w:hint="eastAsia" w:eastAsia="仿宋_GB2312"/>
          <w:b/>
          <w:bCs/>
          <w:color w:val="auto"/>
          <w:sz w:val="32"/>
          <w:szCs w:val="32"/>
          <w:highlight w:val="none"/>
        </w:rPr>
        <w:t>积极推动古厝保护和利用</w:t>
      </w:r>
      <w:r>
        <w:rPr>
          <w:rFonts w:hint="eastAsia" w:eastAsia="仿宋_GB2312"/>
          <w:b/>
          <w:bCs/>
          <w:color w:val="auto"/>
          <w:sz w:val="32"/>
          <w:szCs w:val="32"/>
          <w:highlight w:val="none"/>
          <w:lang w:eastAsia="zh-CN"/>
        </w:rPr>
        <w:t>。</w:t>
      </w:r>
      <w:r>
        <w:rPr>
          <w:rFonts w:hint="eastAsia" w:eastAsia="仿宋_GB2312"/>
          <w:b/>
          <w:bCs/>
          <w:color w:val="auto"/>
          <w:sz w:val="32"/>
          <w:szCs w:val="32"/>
          <w:highlight w:val="none"/>
        </w:rPr>
        <w:t>文物单位保护方面</w:t>
      </w:r>
      <w:r>
        <w:rPr>
          <w:rFonts w:hint="eastAsia" w:eastAsia="仿宋_GB2312"/>
          <w:b/>
          <w:bCs/>
          <w:color w:val="auto"/>
          <w:sz w:val="32"/>
          <w:szCs w:val="32"/>
          <w:highlight w:val="none"/>
          <w:lang w:eastAsia="zh-CN"/>
        </w:rPr>
        <w:t>，</w:t>
      </w:r>
      <w:r>
        <w:rPr>
          <w:rFonts w:ascii="仿宋" w:hAnsi="仿宋" w:eastAsia="仿宋" w:cs="仿宋"/>
          <w:color w:val="auto"/>
          <w:sz w:val="32"/>
          <w:szCs w:val="32"/>
          <w:highlight w:val="none"/>
        </w:rPr>
        <w:t>持续开展不可移动文物保护修缮</w:t>
      </w:r>
      <w:r>
        <w:rPr>
          <w:rFonts w:hint="eastAsia" w:ascii="仿宋" w:hAnsi="仿宋" w:eastAsia="仿宋" w:cs="仿宋"/>
          <w:color w:val="auto"/>
          <w:sz w:val="32"/>
          <w:szCs w:val="32"/>
          <w:highlight w:val="none"/>
        </w:rPr>
        <w:t>维护</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我区大力推动对辖区内各级文物保护单位加强安全措施落实和保护修缮工作</w:t>
      </w:r>
      <w:r>
        <w:rPr>
          <w:rFonts w:hint="eastAsia" w:ascii="仿宋" w:hAnsi="仿宋" w:eastAsia="仿宋"/>
          <w:color w:val="auto"/>
          <w:sz w:val="32"/>
          <w:szCs w:val="32"/>
          <w:highlight w:val="none"/>
        </w:rPr>
        <w:t>，</w:t>
      </w:r>
      <w:r>
        <w:rPr>
          <w:rFonts w:hint="eastAsia" w:ascii="仿宋" w:hAnsi="仿宋" w:eastAsia="仿宋" w:cs="仿宋"/>
          <w:color w:val="auto"/>
          <w:sz w:val="32"/>
          <w:szCs w:val="32"/>
          <w:highlight w:val="none"/>
        </w:rPr>
        <w:t>今年我区已开展几项修缮项目：一是</w:t>
      </w:r>
      <w:r>
        <w:rPr>
          <w:rFonts w:hint="eastAsia" w:ascii="仿宋" w:hAnsi="仿宋" w:eastAsia="仿宋" w:cs="仿宋"/>
          <w:color w:val="auto"/>
          <w:sz w:val="32"/>
          <w:szCs w:val="32"/>
          <w:highlight w:val="none"/>
          <w:lang w:eastAsia="zh-CN"/>
        </w:rPr>
        <w:t>凤洋将军庙</w:t>
      </w:r>
      <w:r>
        <w:rPr>
          <w:rFonts w:hint="eastAsia" w:ascii="仿宋" w:hAnsi="仿宋" w:eastAsia="仿宋" w:cs="仿宋"/>
          <w:color w:val="auto"/>
          <w:sz w:val="32"/>
          <w:szCs w:val="32"/>
          <w:highlight w:val="none"/>
        </w:rPr>
        <w:t>的修缮工作；二是</w:t>
      </w:r>
      <w:r>
        <w:rPr>
          <w:rFonts w:hint="eastAsia" w:ascii="仿宋" w:hAnsi="仿宋" w:eastAsia="仿宋" w:cs="仿宋"/>
          <w:color w:val="auto"/>
          <w:sz w:val="32"/>
          <w:szCs w:val="32"/>
          <w:highlight w:val="none"/>
          <w:lang w:eastAsia="zh-CN"/>
        </w:rPr>
        <w:t>坊兜桥的修缮</w:t>
      </w:r>
      <w:r>
        <w:rPr>
          <w:rFonts w:hint="eastAsia" w:ascii="仿宋" w:hAnsi="仿宋" w:eastAsia="仿宋" w:cs="仿宋"/>
          <w:color w:val="auto"/>
          <w:sz w:val="32"/>
          <w:szCs w:val="32"/>
          <w:highlight w:val="none"/>
        </w:rPr>
        <w:t>工作。三是</w:t>
      </w:r>
      <w:r>
        <w:rPr>
          <w:rFonts w:hint="eastAsia" w:ascii="仿宋" w:hAnsi="仿宋" w:eastAsia="仿宋" w:cs="仿宋"/>
          <w:color w:val="auto"/>
          <w:sz w:val="32"/>
          <w:szCs w:val="32"/>
          <w:highlight w:val="none"/>
          <w:lang w:eastAsia="zh-CN"/>
        </w:rPr>
        <w:t>后屿烈士陵园修缮</w:t>
      </w:r>
      <w:r>
        <w:rPr>
          <w:rFonts w:hint="eastAsia" w:ascii="仿宋" w:hAnsi="仿宋" w:eastAsia="仿宋" w:cs="仿宋"/>
          <w:color w:val="auto"/>
          <w:sz w:val="32"/>
          <w:szCs w:val="32"/>
          <w:highlight w:val="none"/>
        </w:rPr>
        <w:t>工作。区文物局制定了相应的修缮维护方案，</w:t>
      </w:r>
      <w:r>
        <w:rPr>
          <w:rFonts w:hint="eastAsia" w:ascii="仿宋" w:hAnsi="仿宋" w:eastAsia="仿宋"/>
          <w:color w:val="auto"/>
          <w:sz w:val="32"/>
          <w:szCs w:val="32"/>
          <w:highlight w:val="none"/>
        </w:rPr>
        <w:t>由于资金短缺，</w:t>
      </w:r>
      <w:r>
        <w:rPr>
          <w:rFonts w:hint="eastAsia" w:ascii="仿宋" w:hAnsi="仿宋" w:eastAsia="仿宋" w:cs="仿宋"/>
          <w:color w:val="auto"/>
          <w:sz w:val="32"/>
          <w:szCs w:val="32"/>
          <w:highlight w:val="none"/>
        </w:rPr>
        <w:t>区文体旅局已向区政府作了专题汇报，获得区长批示同意，区文物局将继续协调修缮资金到位，争取分批完成修缮维护工作。</w:t>
      </w:r>
      <w:r>
        <w:rPr>
          <w:rFonts w:hint="eastAsia" w:ascii="仿宋" w:hAnsi="仿宋" w:eastAsia="仿宋" w:cs="仿宋"/>
          <w:b/>
          <w:bCs/>
          <w:color w:val="auto"/>
          <w:sz w:val="32"/>
          <w:szCs w:val="32"/>
          <w:highlight w:val="none"/>
          <w:lang w:val="en-US" w:eastAsia="zh-CN"/>
        </w:rPr>
        <w:t>历史建筑保护方面，</w:t>
      </w:r>
      <w:r>
        <w:rPr>
          <w:rFonts w:hint="eastAsia" w:ascii="仿宋" w:hAnsi="仿宋" w:eastAsia="仿宋" w:cs="仿宋"/>
          <w:color w:val="auto"/>
          <w:sz w:val="32"/>
          <w:szCs w:val="32"/>
          <w:highlight w:val="none"/>
          <w:lang w:val="en-US" w:eastAsia="zh-CN"/>
        </w:rPr>
        <w:t>根据市级工作部署，积极推荐历史建筑修缮工作，今年我区开展萧治安故居（西边47号）、樟林村樟林200号、樟林村樟林506号、牛山村50号、鼓四村魏厝里4号、鼓四村魏厝里8号、西边88号、汤斜38号等8处保护修缮及水头村181号、上社19号、</w:t>
      </w:r>
      <w:r>
        <w:rPr>
          <w:rFonts w:hint="eastAsia" w:ascii="仿宋" w:hAnsi="仿宋" w:eastAsia="仿宋" w:cs="Times New Roman"/>
          <w:color w:val="auto"/>
          <w:sz w:val="32"/>
          <w:szCs w:val="32"/>
          <w:highlight w:val="none"/>
          <w:lang w:val="en-US" w:eastAsia="zh-CN"/>
        </w:rPr>
        <w:t>陈氏大厝等3处活化利用</w:t>
      </w:r>
      <w:r>
        <w:rPr>
          <w:rFonts w:hint="eastAsia" w:ascii="仿宋" w:hAnsi="仿宋" w:eastAsia="仿宋" w:cs="仿宋"/>
          <w:color w:val="auto"/>
          <w:sz w:val="32"/>
          <w:szCs w:val="32"/>
          <w:highlight w:val="none"/>
          <w:lang w:val="en-US" w:eastAsia="zh-CN"/>
        </w:rPr>
        <w:t>工作，</w:t>
      </w:r>
      <w:r>
        <w:rPr>
          <w:rFonts w:hint="eastAsia" w:ascii="仿宋" w:hAnsi="仿宋" w:eastAsia="仿宋" w:cs="Times New Roman"/>
          <w:color w:val="auto"/>
          <w:sz w:val="32"/>
          <w:szCs w:val="32"/>
          <w:highlight w:val="none"/>
          <w:lang w:val="en-US" w:eastAsia="zh-CN"/>
        </w:rPr>
        <w:t>水头村181号作为茶馆、上社19号作为物业配套管理用房使、陈氏大厝用于展览展示，</w:t>
      </w:r>
      <w:r>
        <w:rPr>
          <w:rFonts w:hint="eastAsia" w:ascii="仿宋" w:hAnsi="仿宋" w:eastAsia="仿宋" w:cs="仿宋"/>
          <w:color w:val="auto"/>
          <w:sz w:val="32"/>
          <w:szCs w:val="32"/>
          <w:highlight w:val="none"/>
          <w:lang w:val="en-US" w:eastAsia="zh-CN"/>
        </w:rPr>
        <w:t>通过“修旧如旧”、“以用促活”的保护方式，让一座座古建筑逐渐“焕发新生”。</w:t>
      </w:r>
    </w:p>
    <w:p>
      <w:pPr>
        <w:spacing w:line="600" w:lineRule="exact"/>
        <w:ind w:firstLine="643" w:firstLineChars="200"/>
        <w:rPr>
          <w:rFonts w:hint="default" w:ascii="仿宋" w:hAnsi="仿宋" w:eastAsia="仿宋_GB2312" w:cs="仿宋"/>
          <w:sz w:val="32"/>
          <w:szCs w:val="32"/>
          <w:highlight w:val="yellow"/>
          <w:lang w:val="en-US" w:eastAsia="zh-CN"/>
        </w:rPr>
      </w:pPr>
      <w:r>
        <w:rPr>
          <w:rFonts w:eastAsia="仿宋_GB2312"/>
          <w:b/>
          <w:bCs/>
          <w:sz w:val="32"/>
          <w:szCs w:val="32"/>
          <w:highlight w:val="none"/>
        </w:rPr>
        <w:t>5.</w:t>
      </w:r>
      <w:r>
        <w:rPr>
          <w:rFonts w:hint="eastAsia" w:eastAsia="仿宋_GB2312"/>
          <w:b/>
          <w:bCs/>
          <w:sz w:val="32"/>
          <w:szCs w:val="32"/>
          <w:highlight w:val="none"/>
        </w:rPr>
        <w:t>积极推动</w:t>
      </w:r>
      <w:r>
        <w:rPr>
          <w:rFonts w:eastAsia="仿宋_GB2312"/>
          <w:b/>
          <w:bCs/>
          <w:sz w:val="32"/>
          <w:szCs w:val="32"/>
          <w:highlight w:val="none"/>
        </w:rPr>
        <w:t>社会力量参与</w:t>
      </w:r>
      <w:r>
        <w:rPr>
          <w:rFonts w:hint="eastAsia" w:eastAsia="仿宋_GB2312"/>
          <w:b/>
          <w:bCs/>
          <w:sz w:val="32"/>
          <w:szCs w:val="32"/>
          <w:highlight w:val="none"/>
        </w:rPr>
        <w:t>。</w:t>
      </w:r>
      <w:r>
        <w:rPr>
          <w:rFonts w:hint="eastAsia" w:eastAsia="仿宋_GB2312"/>
          <w:sz w:val="32"/>
          <w:szCs w:val="32"/>
          <w:highlight w:val="none"/>
        </w:rPr>
        <w:t>为进一步深化我区历史建筑保护工作，</w:t>
      </w:r>
      <w:r>
        <w:rPr>
          <w:rFonts w:hint="eastAsia" w:eastAsia="仿宋_GB2312"/>
          <w:sz w:val="32"/>
          <w:szCs w:val="32"/>
          <w:highlight w:val="none"/>
          <w:lang w:val="en-US" w:eastAsia="zh-CN"/>
        </w:rPr>
        <w:t>2021年起</w:t>
      </w:r>
      <w:r>
        <w:rPr>
          <w:rFonts w:hint="eastAsia" w:eastAsia="仿宋_GB2312"/>
          <w:sz w:val="32"/>
          <w:szCs w:val="32"/>
          <w:highlight w:val="none"/>
        </w:rPr>
        <w:t>邀请市规划院、市勘测院、市城乡院等技术团队参与我区全面普查核查、测绘建档、保护图则编制、历史文化资源评估论证等相关工作，同时由开发商等业主单位修缮开发地段内古建筑，还原古厝风貌。</w:t>
      </w:r>
      <w:r>
        <w:rPr>
          <w:rFonts w:hint="eastAsia" w:eastAsia="仿宋_GB2312"/>
          <w:sz w:val="32"/>
          <w:szCs w:val="32"/>
          <w:highlight w:val="none"/>
          <w:lang w:val="en-US" w:eastAsia="zh-CN"/>
        </w:rPr>
        <w:t>2023年我区积极推动社会力量参与我区古厝保护工作中，其中福州众晖置业有限公司、中海海易地产有限公司等对我区</w:t>
      </w:r>
      <w:r>
        <w:rPr>
          <w:rFonts w:hint="eastAsia" w:eastAsia="仿宋_GB2312"/>
          <w:color w:val="000000" w:themeColor="text1"/>
          <w:sz w:val="32"/>
          <w:szCs w:val="32"/>
          <w14:textFill>
            <w14:solidFill>
              <w14:schemeClr w14:val="tx1"/>
            </w14:solidFill>
          </w14:textFill>
        </w:rPr>
        <w:t>樟林村樟林200号</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樟林村樟林506号</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牛山村50号</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鼓四村魏厝里4号</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鼓四村魏厝里8号</w:t>
      </w:r>
      <w:r>
        <w:rPr>
          <w:rFonts w:hint="eastAsia" w:eastAsia="仿宋_GB2312"/>
          <w:color w:val="000000" w:themeColor="text1"/>
          <w:sz w:val="32"/>
          <w:szCs w:val="32"/>
          <w:lang w:val="en-US" w:eastAsia="zh-CN"/>
          <w14:textFill>
            <w14:solidFill>
              <w14:schemeClr w14:val="tx1"/>
            </w14:solidFill>
          </w14:textFill>
        </w:rPr>
        <w:t>等5处建筑进行了保护性修缮，福州蓝闽置业有限公司、荣升（福州）置业发展有限公司等对我区</w:t>
      </w:r>
      <w:r>
        <w:rPr>
          <w:rFonts w:hint="eastAsia" w:eastAsia="仿宋_GB2312"/>
          <w:color w:val="000000" w:themeColor="text1"/>
          <w:sz w:val="32"/>
          <w:szCs w:val="32"/>
          <w14:textFill>
            <w14:solidFill>
              <w14:schemeClr w14:val="tx1"/>
            </w14:solidFill>
          </w14:textFill>
        </w:rPr>
        <w:t>上社19号</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水头村181号</w:t>
      </w:r>
      <w:r>
        <w:rPr>
          <w:rFonts w:hint="eastAsia" w:eastAsia="仿宋_GB2312"/>
          <w:color w:val="000000" w:themeColor="text1"/>
          <w:sz w:val="32"/>
          <w:szCs w:val="32"/>
          <w:lang w:val="en-US" w:eastAsia="zh-CN"/>
          <w14:textFill>
            <w14:solidFill>
              <w14:schemeClr w14:val="tx1"/>
            </w14:solidFill>
          </w14:textFill>
        </w:rPr>
        <w:t>等两处建筑开展了活化利用工作。</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（五）保护活化利用等试点示范情况</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olor w:val="auto"/>
          <w:sz w:val="32"/>
          <w:szCs w:val="32"/>
          <w:lang w:val="en-US" w:eastAsia="zh-CN"/>
        </w:rPr>
      </w:pPr>
      <w:r>
        <w:rPr>
          <w:rFonts w:hint="eastAsia" w:ascii="仿宋" w:hAnsi="仿宋" w:eastAsia="仿宋" w:cs="仿宋"/>
          <w:b/>
          <w:bCs/>
          <w:color w:val="auto"/>
          <w:sz w:val="32"/>
          <w:szCs w:val="32"/>
        </w:rPr>
        <w:t>一</w:t>
      </w:r>
      <w:r>
        <w:rPr>
          <w:rFonts w:hint="eastAsia" w:ascii="仿宋" w:hAnsi="仿宋" w:eastAsia="仿宋" w:cs="仿宋"/>
          <w:b/>
          <w:color w:val="auto"/>
          <w:sz w:val="32"/>
          <w:szCs w:val="32"/>
        </w:rPr>
        <w:t>是</w:t>
      </w:r>
      <w:r>
        <w:rPr>
          <w:rFonts w:hint="eastAsia" w:ascii="仿宋" w:hAnsi="仿宋" w:eastAsia="仿宋"/>
          <w:b/>
          <w:color w:val="auto"/>
          <w:sz w:val="32"/>
          <w:szCs w:val="28"/>
          <w:shd w:val="clear" w:color="auto" w:fill="FFFFFF"/>
        </w:rPr>
        <w:t>加大晋安区文物的挖掘和宣传</w:t>
      </w:r>
      <w:r>
        <w:rPr>
          <w:rFonts w:hint="eastAsia" w:ascii="仿宋" w:hAnsi="仿宋" w:eastAsia="仿宋"/>
          <w:color w:val="auto"/>
          <w:sz w:val="32"/>
          <w:szCs w:val="28"/>
          <w:shd w:val="clear" w:color="auto" w:fill="FFFFFF"/>
        </w:rPr>
        <w:t>。</w:t>
      </w:r>
      <w:r>
        <w:rPr>
          <w:rFonts w:hint="eastAsia" w:ascii="仿宋" w:hAnsi="仿宋" w:eastAsia="仿宋"/>
          <w:color w:val="auto"/>
          <w:sz w:val="32"/>
          <w:szCs w:val="32"/>
        </w:rPr>
        <w:t>加强对文物保护工作进行宣传，利用媒体、门户网站、下属单位公众号、学习讲座、晋安区雏鹰志愿服务队、导游讲解等多种形式的活动大力开展宣传工作，着力提高全社会民众重视文物保护安全工作的意识，使人民群众增强历史责任感和文化自信，更好地自觉配合支持文物的保护、修缮和活化利用工作。</w:t>
      </w:r>
      <w:r>
        <w:rPr>
          <w:rFonts w:hint="eastAsia" w:ascii="仿宋" w:hAnsi="仿宋" w:eastAsia="仿宋"/>
          <w:color w:val="auto"/>
          <w:sz w:val="32"/>
          <w:szCs w:val="32"/>
          <w:lang w:eastAsia="zh-CN"/>
        </w:rPr>
        <w:t>今年来</w:t>
      </w:r>
      <w:r>
        <w:rPr>
          <w:rFonts w:hint="eastAsia" w:ascii="仿宋" w:hAnsi="仿宋" w:eastAsia="仿宋"/>
          <w:color w:val="auto"/>
          <w:sz w:val="32"/>
          <w:szCs w:val="32"/>
        </w:rPr>
        <w:t>，我区从古厝（文物）保护爱好者、各乡镇推荐人员、小雏鹰志愿者、鼓岭风景区管委会讲解员等各阶层人士中择优选录4</w:t>
      </w:r>
      <w:r>
        <w:rPr>
          <w:rFonts w:ascii="仿宋" w:hAnsi="仿宋" w:eastAsia="仿宋"/>
          <w:color w:val="auto"/>
          <w:sz w:val="32"/>
          <w:szCs w:val="32"/>
        </w:rPr>
        <w:t>0</w:t>
      </w:r>
      <w:r>
        <w:rPr>
          <w:rFonts w:hint="eastAsia" w:ascii="仿宋" w:hAnsi="仿宋" w:eastAsia="仿宋"/>
          <w:color w:val="auto"/>
          <w:sz w:val="32"/>
          <w:szCs w:val="32"/>
        </w:rPr>
        <w:t>人，组成晋安区古厝（文物）保护宣讲队，</w:t>
      </w:r>
      <w:r>
        <w:rPr>
          <w:rFonts w:ascii="仿宋" w:hAnsi="仿宋" w:eastAsia="仿宋"/>
          <w:color w:val="auto"/>
          <w:sz w:val="32"/>
          <w:szCs w:val="32"/>
        </w:rPr>
        <w:t>积极宣传</w:t>
      </w:r>
      <w:r>
        <w:rPr>
          <w:rFonts w:hint="eastAsia" w:ascii="仿宋" w:hAnsi="仿宋" w:eastAsia="仿宋"/>
          <w:color w:val="auto"/>
          <w:sz w:val="32"/>
          <w:szCs w:val="32"/>
        </w:rPr>
        <w:t>古厝（文物）</w:t>
      </w:r>
      <w:r>
        <w:rPr>
          <w:rFonts w:ascii="仿宋" w:hAnsi="仿宋" w:eastAsia="仿宋"/>
          <w:color w:val="auto"/>
          <w:sz w:val="32"/>
          <w:szCs w:val="32"/>
        </w:rPr>
        <w:t>保护法律法规</w:t>
      </w:r>
      <w:r>
        <w:rPr>
          <w:rFonts w:hint="eastAsia" w:ascii="仿宋" w:hAnsi="仿宋" w:eastAsia="仿宋"/>
          <w:color w:val="auto"/>
          <w:sz w:val="32"/>
          <w:szCs w:val="32"/>
        </w:rPr>
        <w:t>、</w:t>
      </w:r>
      <w:r>
        <w:rPr>
          <w:rFonts w:ascii="仿宋" w:hAnsi="仿宋" w:eastAsia="仿宋"/>
          <w:color w:val="auto"/>
          <w:sz w:val="32"/>
          <w:szCs w:val="32"/>
        </w:rPr>
        <w:t>相关政策</w:t>
      </w:r>
      <w:r>
        <w:rPr>
          <w:rFonts w:hint="eastAsia" w:ascii="仿宋" w:hAnsi="仿宋" w:eastAsia="仿宋"/>
          <w:color w:val="auto"/>
          <w:sz w:val="32"/>
          <w:szCs w:val="32"/>
        </w:rPr>
        <w:t>和文物知识，</w:t>
      </w:r>
      <w:r>
        <w:rPr>
          <w:rFonts w:ascii="仿宋" w:hAnsi="仿宋" w:eastAsia="仿宋"/>
          <w:color w:val="auto"/>
          <w:sz w:val="32"/>
          <w:szCs w:val="32"/>
        </w:rPr>
        <w:t>从文化讲解、文明劝导到红色精神的传扬，从学习晋安历史人文到学习新时代晋安故事，让文物焕发生机，为建设新晋安增添色彩。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Times New Roman"/>
          <w:color w:val="auto"/>
          <w:sz w:val="32"/>
          <w:szCs w:val="32"/>
          <w:highlight w:val="red"/>
          <w:lang w:val="en-US" w:eastAsia="zh-CN"/>
        </w:rPr>
      </w:pPr>
      <w:r>
        <w:rPr>
          <w:rFonts w:hint="eastAsia" w:ascii="仿宋" w:hAnsi="仿宋" w:eastAsia="仿宋" w:cs="仿宋"/>
          <w:b/>
          <w:bCs/>
          <w:color w:val="auto"/>
          <w:sz w:val="32"/>
          <w:szCs w:val="32"/>
        </w:rPr>
        <w:t>二是开展</w:t>
      </w:r>
      <w:r>
        <w:rPr>
          <w:rFonts w:hint="eastAsia" w:ascii="仿宋" w:hAnsi="仿宋" w:eastAsia="仿宋" w:cs="仿宋"/>
          <w:b/>
          <w:bCs/>
          <w:color w:val="auto"/>
          <w:sz w:val="32"/>
          <w:szCs w:val="32"/>
          <w:lang w:val="zh-CN"/>
        </w:rPr>
        <w:t>古厝活化精品案例。</w:t>
      </w:r>
      <w:r>
        <w:rPr>
          <w:rFonts w:hint="eastAsia" w:ascii="仿宋_GB2312" w:hAnsi="仿宋_GB2312" w:eastAsia="仿宋_GB2312" w:cs="仿宋_GB2312"/>
          <w:color w:val="auto"/>
          <w:sz w:val="32"/>
          <w:szCs w:val="32"/>
        </w:rPr>
        <w:t>我区积极推动文化遗产保护利用和城乡面貌品质提升工作，打造古厝活化利用的精品案例。</w:t>
      </w:r>
      <w:r>
        <w:rPr>
          <w:rFonts w:hint="eastAsia" w:ascii="仿宋_GB2312" w:hAnsi="仿宋_GB2312" w:eastAsia="仿宋_GB2312" w:cs="仿宋_GB2312"/>
          <w:b/>
          <w:bCs/>
          <w:color w:val="auto"/>
          <w:sz w:val="32"/>
          <w:szCs w:val="32"/>
        </w:rPr>
        <w:t>文物保护单位方面，</w:t>
      </w:r>
      <w:bookmarkStart w:id="1" w:name="_Hlk121679265"/>
      <w:r>
        <w:rPr>
          <w:rFonts w:hint="eastAsia" w:ascii="仿宋_GB2312" w:hAnsi="仿宋_GB2312" w:eastAsia="仿宋_GB2312" w:cs="仿宋_GB2312"/>
          <w:color w:val="auto"/>
          <w:sz w:val="32"/>
          <w:szCs w:val="32"/>
        </w:rPr>
        <w:t>委托国有企业福建新晋数投科技有限责任公司负责邓拓、邓家骅故居活化利用项目的开发运营工作，打造晋安文化记忆馆。“两邓建筑”占地共2000多平方米，其中邓拓故居800多平方米。</w:t>
      </w:r>
      <w:r>
        <w:rPr>
          <w:rFonts w:hint="eastAsia" w:ascii="仿宋" w:hAnsi="仿宋" w:eastAsia="仿宋"/>
          <w:color w:val="auto"/>
          <w:sz w:val="32"/>
          <w:szCs w:val="32"/>
        </w:rPr>
        <w:t>今年</w:t>
      </w:r>
      <w:r>
        <w:rPr>
          <w:rFonts w:ascii="仿宋" w:hAnsi="仿宋" w:eastAsia="仿宋"/>
          <w:color w:val="auto"/>
          <w:sz w:val="32"/>
          <w:szCs w:val="32"/>
        </w:rPr>
        <w:t>常态化接待观展累计人数超过2万人次，承接接待及讲解</w:t>
      </w:r>
      <w:r>
        <w:rPr>
          <w:rFonts w:hint="eastAsia" w:ascii="仿宋" w:hAnsi="仿宋" w:eastAsia="仿宋"/>
          <w:color w:val="auto"/>
          <w:sz w:val="32"/>
          <w:szCs w:val="32"/>
        </w:rPr>
        <w:t>上百</w:t>
      </w:r>
      <w:r>
        <w:rPr>
          <w:rFonts w:ascii="仿宋" w:hAnsi="仿宋" w:eastAsia="仿宋"/>
          <w:color w:val="auto"/>
          <w:sz w:val="32"/>
          <w:szCs w:val="32"/>
        </w:rPr>
        <w:t>场次。其中</w:t>
      </w:r>
      <w:r>
        <w:rPr>
          <w:rFonts w:hint="eastAsia" w:ascii="仿宋" w:hAnsi="仿宋" w:eastAsia="仿宋"/>
          <w:color w:val="auto"/>
          <w:sz w:val="32"/>
          <w:szCs w:val="32"/>
        </w:rPr>
        <w:t>包含</w:t>
      </w:r>
      <w:r>
        <w:rPr>
          <w:rFonts w:ascii="仿宋" w:hAnsi="仿宋" w:eastAsia="仿宋"/>
          <w:color w:val="auto"/>
          <w:sz w:val="32"/>
          <w:szCs w:val="32"/>
        </w:rPr>
        <w:t>政府公益性接待讲解34场次（省市级13场、区级18场、</w:t>
      </w:r>
      <w:r>
        <w:rPr>
          <w:rFonts w:hint="eastAsia" w:ascii="仿宋" w:hAnsi="仿宋" w:eastAsia="仿宋"/>
          <w:color w:val="auto"/>
          <w:sz w:val="32"/>
          <w:szCs w:val="32"/>
        </w:rPr>
        <w:t>乡镇</w:t>
      </w:r>
      <w:r>
        <w:rPr>
          <w:rFonts w:ascii="仿宋" w:hAnsi="仿宋" w:eastAsia="仿宋"/>
          <w:color w:val="auto"/>
          <w:sz w:val="32"/>
          <w:szCs w:val="32"/>
        </w:rPr>
        <w:t>1场、日本及台湾外宾2场）</w:t>
      </w:r>
      <w:r>
        <w:rPr>
          <w:rFonts w:hint="eastAsia" w:ascii="仿宋" w:hAnsi="仿宋" w:eastAsia="仿宋"/>
          <w:color w:val="auto"/>
          <w:sz w:val="32"/>
          <w:szCs w:val="32"/>
        </w:rPr>
        <w:t>。</w:t>
      </w:r>
      <w:r>
        <w:rPr>
          <w:rFonts w:ascii="仿宋" w:hAnsi="仿宋" w:eastAsia="仿宋"/>
          <w:color w:val="auto"/>
          <w:sz w:val="32"/>
          <w:szCs w:val="32"/>
        </w:rPr>
        <w:t>“两邓古厝”的活化利用，既保护了历史建筑的“筋骨肉”，又传承了晋安文化</w:t>
      </w:r>
      <w:r>
        <w:rPr>
          <w:rFonts w:ascii="仿宋" w:hAnsi="仿宋" w:eastAsia="仿宋"/>
          <w:color w:val="auto"/>
          <w:sz w:val="32"/>
          <w:szCs w:val="32"/>
          <w:highlight w:val="none"/>
        </w:rPr>
        <w:t>的“精气神”，实现永续利用和活态传承，为福州本土特色历史文化遗产的保护打开新的思路和空间，打造了公众喜闻乐见的文化品牌。</w:t>
      </w:r>
      <w:r>
        <w:rPr>
          <w:rFonts w:hint="eastAsia" w:ascii="仿宋_GB2312" w:hAnsi="仿宋_GB2312" w:eastAsia="仿宋_GB2312" w:cs="仿宋_GB2312"/>
          <w:b/>
          <w:bCs/>
          <w:sz w:val="32"/>
          <w:szCs w:val="32"/>
          <w:highlight w:val="none"/>
        </w:rPr>
        <w:t>历史建筑方面，</w:t>
      </w:r>
      <w:bookmarkEnd w:id="1"/>
      <w:r>
        <w:rPr>
          <w:rFonts w:hint="eastAsia" w:ascii="仿宋" w:hAnsi="仿宋" w:eastAsia="仿宋" w:cs="Times New Roman"/>
          <w:color w:val="auto"/>
          <w:sz w:val="32"/>
          <w:szCs w:val="32"/>
          <w:highlight w:val="none"/>
          <w:lang w:val="en-US" w:eastAsia="zh-CN"/>
        </w:rPr>
        <w:t>持续推动古厝活化利用工作，让历史文化与现代生活融合在一起，以用促保，让古厝“活起来”、“用起来”。陈氏大厝为我区单体面积最大的建筑，迁建至牛岗山公园东南角处，部分用于展览展示，以福城、福乡、福祉为篇章，用一张张鲜活的照片展现了晋安近十年的巨大变化。 同时根据市名城委《关于在全市范围征集优秀历史建筑、传统风貌建筑等活化利用案例的通知》(榕名城委函〔2023〕306号) 文件精神，推荐出影响广泛的古厝活化利用示范项目，筛选出一批古厝“活化新生”模式的优秀案例。我区推荐日溪乡日溪畲族蓝府、鼓岭旅游度假区万国公益社、古城遗址公园等为古厝活化利用的优秀案例。新店古城遗址位于福州市晋安区新店镇古城村，是闽越文化的重要发源地，其中古城村25号、26号为我区已公布传统风貌建筑，在原有的闽越文化基础上，通过围绕挖掘推广闽越文化，讲好闽都先祖故事，以闽都“福文化”馆为运营基地，结合前期闽越文化内容，以高起点、高标准，依托遗址、古建打造闽都文化闽越品牌。同时依托场馆，通过线下展馆展示，提供包含食俗、文创、阅读、非遗、音乐等各类与闽越文化有关的活态体验，打造福州独一无二的历史文化内核、数字科技表达、创意设计驱动的闽越馆;鼓岭万国公益社现作为“鼓岭故事-习近平同志领导福州对外交流的创新理念和生动实践”主题展馆，通过“国际社区”、“鼓岭故事”、“友好福州”、“开放福建”、“命运与共”五大版块系统展现了习近平外交思</w:t>
      </w:r>
      <w:bookmarkStart w:id="2" w:name="_GoBack"/>
      <w:bookmarkEnd w:id="2"/>
      <w:r>
        <w:rPr>
          <w:rFonts w:hint="eastAsia" w:ascii="仿宋" w:hAnsi="仿宋" w:eastAsia="仿宋" w:cs="Times New Roman"/>
          <w:color w:val="auto"/>
          <w:sz w:val="32"/>
          <w:szCs w:val="32"/>
          <w:highlight w:val="none"/>
          <w:lang w:val="en-US" w:eastAsia="zh-CN"/>
        </w:rPr>
        <w:t>想在福州的孕育和实践，全面展现习近平总书记在福州工作期间对外交往的佳话；日溪畲家蓝府成为畲族文化对外展示的一个窗口，为扩大畲族、畲乡文化品牌影响力打下了坚实基础，也是日溪中心小学畲族文化研学（剪纸、刺绣）教育基地。同时，依托畲家百年蓝府，开辟“百年蓝府畲族方言讲堂”，面向畲族群众开展家风家训为主题的宣讲活动，引导广大村民弘扬好家风好家训、树立家国情怀。</w:t>
      </w:r>
    </w:p>
    <w:p>
      <w:pPr>
        <w:pStyle w:val="13"/>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2"/>
          <w:szCs w:val="32"/>
          <w:highlight w:val="none"/>
        </w:rPr>
      </w:pPr>
      <w:r>
        <w:rPr>
          <w:rFonts w:hint="eastAsia" w:ascii="仿宋" w:hAnsi="仿宋" w:cs="仿宋"/>
          <w:b/>
          <w:bCs/>
          <w:color w:val="000000"/>
          <w:sz w:val="32"/>
          <w:szCs w:val="32"/>
          <w:highlight w:val="none"/>
        </w:rPr>
        <w:t>三是进一步</w:t>
      </w:r>
      <w:r>
        <w:rPr>
          <w:rFonts w:ascii="仿宋" w:hAnsi="仿宋" w:cs="仿宋"/>
          <w:b/>
          <w:bCs/>
          <w:color w:val="000000"/>
          <w:sz w:val="32"/>
          <w:szCs w:val="32"/>
          <w:highlight w:val="none"/>
        </w:rPr>
        <w:t>规范我区历史建筑日常管理工作，</w:t>
      </w:r>
      <w:r>
        <w:rPr>
          <w:rFonts w:hint="eastAsia" w:ascii="Times New Roman" w:hAnsi="Times New Roman" w:eastAsia="仿宋_GB2312" w:cs="Times New Roman"/>
          <w:sz w:val="32"/>
          <w:szCs w:val="32"/>
          <w:highlight w:val="none"/>
        </w:rPr>
        <w:t>区政府</w:t>
      </w:r>
      <w:r>
        <w:rPr>
          <w:rFonts w:hint="eastAsia" w:eastAsia="仿宋_GB2312" w:cs="Times New Roman"/>
          <w:sz w:val="32"/>
          <w:szCs w:val="32"/>
          <w:highlight w:val="none"/>
        </w:rPr>
        <w:t>、</w:t>
      </w:r>
      <w:r>
        <w:rPr>
          <w:rFonts w:hint="eastAsia" w:ascii="Times New Roman" w:hAnsi="Times New Roman" w:eastAsia="仿宋_GB2312" w:cs="Times New Roman"/>
          <w:sz w:val="32"/>
          <w:szCs w:val="32"/>
          <w:highlight w:val="none"/>
        </w:rPr>
        <w:t>属地乡镇（街</w:t>
      </w:r>
      <w:r>
        <w:rPr>
          <w:rFonts w:hint="eastAsia" w:eastAsia="仿宋_GB2312" w:cs="Times New Roman"/>
          <w:sz w:val="32"/>
          <w:szCs w:val="32"/>
          <w:highlight w:val="none"/>
        </w:rPr>
        <w:t>）、</w:t>
      </w:r>
      <w:r>
        <w:rPr>
          <w:rFonts w:hint="eastAsia" w:ascii="Times New Roman" w:hAnsi="Times New Roman" w:eastAsia="仿宋_GB2312" w:cs="Times New Roman"/>
          <w:sz w:val="32"/>
          <w:szCs w:val="32"/>
          <w:highlight w:val="none"/>
        </w:rPr>
        <w:t>责任人</w:t>
      </w:r>
      <w:r>
        <w:rPr>
          <w:rFonts w:hint="eastAsia" w:eastAsia="仿宋_GB2312" w:cs="Times New Roman"/>
          <w:sz w:val="32"/>
          <w:szCs w:val="32"/>
          <w:highlight w:val="none"/>
        </w:rPr>
        <w:t>，逐层签订历史建筑保护责任书，</w:t>
      </w:r>
      <w:r>
        <w:rPr>
          <w:rFonts w:hint="eastAsia" w:ascii="Times New Roman" w:hAnsi="Times New Roman" w:eastAsia="仿宋_GB2312" w:cs="Times New Roman"/>
          <w:sz w:val="32"/>
          <w:szCs w:val="32"/>
          <w:highlight w:val="none"/>
        </w:rPr>
        <w:t>同时</w:t>
      </w:r>
      <w:r>
        <w:rPr>
          <w:rFonts w:ascii="Times New Roman" w:hAnsi="Times New Roman" w:eastAsia="仿宋_GB2312" w:cs="Times New Roman"/>
          <w:sz w:val="32"/>
          <w:szCs w:val="32"/>
          <w:highlight w:val="none"/>
        </w:rPr>
        <w:t>制作了3</w:t>
      </w:r>
      <w:r>
        <w:rPr>
          <w:rFonts w:hint="eastAsia" w:ascii="Times New Roman" w:hAnsi="Times New Roman"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处已公布历史建筑</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13处传统风貌建筑</w:t>
      </w:r>
      <w:r>
        <w:rPr>
          <w:rFonts w:ascii="Times New Roman" w:hAnsi="Times New Roman" w:eastAsia="仿宋_GB2312" w:cs="Times New Roman"/>
          <w:sz w:val="32"/>
          <w:szCs w:val="32"/>
          <w:highlight w:val="none"/>
        </w:rPr>
        <w:t>保护告知书，由各乡镇进行宣传推广，并下发给历史建筑保护责任人，要求保护责任人根据相关权利及义务，加强历史建筑保护、利用工作</w:t>
      </w:r>
      <w:r>
        <w:rPr>
          <w:rFonts w:hint="eastAsia" w:ascii="Times New Roman" w:hAnsi="Times New Roman" w:eastAsia="仿宋_GB2312" w:cs="Times New Roman"/>
          <w:sz w:val="32"/>
          <w:szCs w:val="32"/>
          <w:highlight w:val="none"/>
        </w:rPr>
        <w:t>。</w:t>
      </w:r>
    </w:p>
    <w:p>
      <w:pPr>
        <w:pStyle w:val="13"/>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仿宋_GB2312" w:cs="楷体_GB2312"/>
          <w:b/>
          <w:sz w:val="32"/>
          <w:szCs w:val="32"/>
          <w:highlight w:val="red"/>
          <w:lang w:val="en-US" w:eastAsia="zh-CN"/>
        </w:rPr>
      </w:pPr>
      <w:r>
        <w:rPr>
          <w:rFonts w:hint="eastAsia" w:ascii="仿宋" w:hAnsi="仿宋" w:cs="仿宋"/>
          <w:b/>
          <w:bCs/>
          <w:color w:val="000000"/>
          <w:sz w:val="32"/>
          <w:szCs w:val="32"/>
          <w:highlight w:val="none"/>
        </w:rPr>
        <w:t>四是推进为民办实事项目</w:t>
      </w: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年我区开展</w:t>
      </w:r>
      <w:r>
        <w:rPr>
          <w:rFonts w:hint="eastAsia" w:ascii="Times New Roman" w:hAnsi="Times New Roman" w:eastAsia="仿宋_GB2312" w:cs="Times New Roman"/>
          <w:sz w:val="32"/>
          <w:szCs w:val="32"/>
          <w:highlight w:val="none"/>
          <w:lang w:val="en-US" w:eastAsia="zh-CN"/>
        </w:rPr>
        <w:t>萧治安故居修缮及陈氏大厝活化利用等2</w:t>
      </w:r>
      <w:r>
        <w:rPr>
          <w:rFonts w:hint="eastAsia" w:ascii="Times New Roman" w:hAnsi="Times New Roman" w:eastAsia="仿宋_GB2312" w:cs="Times New Roman"/>
          <w:sz w:val="32"/>
          <w:szCs w:val="32"/>
          <w:highlight w:val="none"/>
        </w:rPr>
        <w:t>处为民办实事项目，</w:t>
      </w:r>
      <w:r>
        <w:rPr>
          <w:rFonts w:hint="eastAsia" w:ascii="仿宋_GB2312" w:hAnsi="仿宋_GB2312" w:eastAsia="仿宋_GB2312" w:cs="仿宋_GB2312"/>
          <w:sz w:val="32"/>
          <w:szCs w:val="32"/>
          <w:highlight w:val="none"/>
        </w:rPr>
        <w:t>目前均已</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w:t>
      </w:r>
    </w:p>
    <w:p>
      <w:pPr>
        <w:rPr>
          <w:rFonts w:hint="eastAsia" w:eastAsia="仿宋_GB2312"/>
          <w:sz w:val="32"/>
          <w:szCs w:val="32"/>
          <w:highlight w:val="red"/>
        </w:rPr>
      </w:pPr>
      <w:r>
        <w:rPr>
          <w:rFonts w:eastAsia="仿宋_GB2312"/>
          <w:sz w:val="32"/>
          <w:szCs w:val="32"/>
          <w:highlight w:val="red"/>
        </w:rPr>
        <w:br w:type="page"/>
      </w:r>
    </w:p>
    <w:p>
      <w:pPr>
        <w:spacing w:line="600" w:lineRule="exact"/>
        <w:rPr>
          <w:rFonts w:eastAsia="黑体"/>
          <w:sz w:val="32"/>
          <w:szCs w:val="32"/>
        </w:rPr>
      </w:pPr>
      <w:r>
        <w:rPr>
          <w:rFonts w:eastAsia="仿宋_GB2312"/>
          <w:sz w:val="32"/>
          <w:szCs w:val="32"/>
        </w:rPr>
        <w:t>附件2</w:t>
      </w:r>
      <w:r>
        <w:rPr>
          <w:rFonts w:eastAsia="黑体"/>
          <w:sz w:val="32"/>
          <w:szCs w:val="32"/>
        </w:rPr>
        <w:t xml:space="preserve"> </w:t>
      </w:r>
    </w:p>
    <w:p>
      <w:pPr>
        <w:spacing w:line="600" w:lineRule="exact"/>
        <w:jc w:val="center"/>
        <w:rPr>
          <w:rFonts w:eastAsia="仿宋_GB2312"/>
          <w:b/>
          <w:bCs/>
          <w:sz w:val="24"/>
        </w:rPr>
      </w:pPr>
      <w:r>
        <w:rPr>
          <w:rFonts w:eastAsia="方正小标宋简体"/>
          <w:sz w:val="40"/>
          <w:szCs w:val="40"/>
        </w:rPr>
        <w:t>历史文化资源普查认定和保护管理情况表</w:t>
      </w:r>
    </w:p>
    <w:tbl>
      <w:tblPr>
        <w:tblStyle w:val="9"/>
        <w:tblW w:w="9700" w:type="dxa"/>
        <w:jc w:val="center"/>
        <w:tblLayout w:type="fixed"/>
        <w:tblCellMar>
          <w:top w:w="0" w:type="dxa"/>
          <w:left w:w="108" w:type="dxa"/>
          <w:bottom w:w="0" w:type="dxa"/>
          <w:right w:w="108" w:type="dxa"/>
        </w:tblCellMar>
      </w:tblPr>
      <w:tblGrid>
        <w:gridCol w:w="1205"/>
        <w:gridCol w:w="2257"/>
        <w:gridCol w:w="1938"/>
        <w:gridCol w:w="1182"/>
        <w:gridCol w:w="668"/>
        <w:gridCol w:w="842"/>
        <w:gridCol w:w="784"/>
        <w:gridCol w:w="824"/>
      </w:tblGrid>
      <w:tr>
        <w:tblPrEx>
          <w:tblCellMar>
            <w:top w:w="0" w:type="dxa"/>
            <w:left w:w="108" w:type="dxa"/>
            <w:bottom w:w="0" w:type="dxa"/>
            <w:right w:w="108" w:type="dxa"/>
          </w:tblCellMar>
        </w:tblPrEx>
        <w:trPr>
          <w:trHeight w:val="23" w:hRule="atLeast"/>
          <w:jc w:val="center"/>
        </w:trPr>
        <w:tc>
          <w:tcPr>
            <w:tcW w:w="1205" w:type="dxa"/>
            <w:vMerge w:val="restart"/>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类型</w:t>
            </w:r>
          </w:p>
        </w:tc>
        <w:tc>
          <w:tcPr>
            <w:tcW w:w="2257" w:type="dxa"/>
            <w:vMerge w:val="restart"/>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基本情况</w:t>
            </w:r>
          </w:p>
        </w:tc>
        <w:tc>
          <w:tcPr>
            <w:tcW w:w="1938" w:type="dxa"/>
            <w:vMerge w:val="restart"/>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总数</w:t>
            </w:r>
          </w:p>
        </w:tc>
        <w:tc>
          <w:tcPr>
            <w:tcW w:w="4300" w:type="dxa"/>
            <w:gridSpan w:val="5"/>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保护工作进展情况</w:t>
            </w:r>
          </w:p>
        </w:tc>
      </w:tr>
      <w:tr>
        <w:tblPrEx>
          <w:tblCellMar>
            <w:top w:w="0" w:type="dxa"/>
            <w:left w:w="108" w:type="dxa"/>
            <w:bottom w:w="0" w:type="dxa"/>
            <w:right w:w="108" w:type="dxa"/>
          </w:tblCellMar>
        </w:tblPrEx>
        <w:trPr>
          <w:trHeight w:val="23" w:hRule="atLeast"/>
          <w:jc w:val="center"/>
        </w:trPr>
        <w:tc>
          <w:tcPr>
            <w:tcW w:w="1205" w:type="dxa"/>
            <w:vMerge w:val="continue"/>
            <w:tcBorders>
              <w:top w:val="single" w:color="000000" w:sz="0" w:space="0"/>
              <w:left w:val="single" w:color="000000" w:sz="0" w:space="0"/>
              <w:bottom w:val="single" w:color="000000" w:sz="0" w:space="0"/>
              <w:right w:val="single" w:color="000000" w:sz="0" w:space="0"/>
            </w:tcBorders>
            <w:shd w:val="clear" w:color="auto" w:fill="E7E6E6"/>
            <w:vAlign w:val="center"/>
          </w:tcPr>
          <w:p>
            <w:pPr>
              <w:spacing w:line="360" w:lineRule="exact"/>
              <w:jc w:val="center"/>
              <w:rPr>
                <w:rFonts w:eastAsia="仿宋_GB2312"/>
                <w:b/>
                <w:sz w:val="24"/>
              </w:rPr>
            </w:pPr>
          </w:p>
        </w:tc>
        <w:tc>
          <w:tcPr>
            <w:tcW w:w="2257" w:type="dxa"/>
            <w:vMerge w:val="continue"/>
            <w:tcBorders>
              <w:top w:val="single" w:color="000000" w:sz="0" w:space="0"/>
              <w:left w:val="single" w:color="000000" w:sz="0" w:space="0"/>
              <w:bottom w:val="single" w:color="000000" w:sz="0" w:space="0"/>
              <w:right w:val="single" w:color="000000" w:sz="0" w:space="0"/>
            </w:tcBorders>
            <w:shd w:val="clear" w:color="auto" w:fill="E7E6E6"/>
            <w:vAlign w:val="center"/>
          </w:tcPr>
          <w:p>
            <w:pPr>
              <w:spacing w:line="360" w:lineRule="exact"/>
              <w:jc w:val="center"/>
              <w:rPr>
                <w:rFonts w:eastAsia="仿宋_GB2312"/>
                <w:b/>
                <w:sz w:val="24"/>
              </w:rPr>
            </w:pPr>
          </w:p>
        </w:tc>
        <w:tc>
          <w:tcPr>
            <w:tcW w:w="1938" w:type="dxa"/>
            <w:vMerge w:val="continue"/>
            <w:tcBorders>
              <w:top w:val="single" w:color="000000" w:sz="0" w:space="0"/>
              <w:left w:val="single" w:color="000000" w:sz="0" w:space="0"/>
              <w:bottom w:val="single" w:color="000000" w:sz="0" w:space="0"/>
              <w:right w:val="single" w:color="000000" w:sz="0" w:space="0"/>
            </w:tcBorders>
            <w:shd w:val="clear" w:color="auto" w:fill="E7E6E6"/>
            <w:vAlign w:val="center"/>
          </w:tcPr>
          <w:p>
            <w:pPr>
              <w:spacing w:line="360" w:lineRule="exact"/>
              <w:jc w:val="center"/>
              <w:rPr>
                <w:rFonts w:eastAsia="仿宋_GB2312"/>
                <w:b/>
                <w:sz w:val="24"/>
              </w:rPr>
            </w:pPr>
          </w:p>
        </w:tc>
        <w:tc>
          <w:tcPr>
            <w:tcW w:w="1182" w:type="dxa"/>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已挂牌数量</w:t>
            </w:r>
          </w:p>
        </w:tc>
        <w:tc>
          <w:tcPr>
            <w:tcW w:w="668" w:type="dxa"/>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已建档数量</w:t>
            </w:r>
          </w:p>
        </w:tc>
        <w:tc>
          <w:tcPr>
            <w:tcW w:w="842" w:type="dxa"/>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已测绘数量</w:t>
            </w:r>
          </w:p>
        </w:tc>
        <w:tc>
          <w:tcPr>
            <w:tcW w:w="784" w:type="dxa"/>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已制作保护图则数量</w:t>
            </w:r>
          </w:p>
        </w:tc>
        <w:tc>
          <w:tcPr>
            <w:tcW w:w="824" w:type="dxa"/>
            <w:tcBorders>
              <w:top w:val="single" w:color="000000" w:sz="0" w:space="0"/>
              <w:left w:val="single" w:color="000000" w:sz="0" w:space="0"/>
              <w:bottom w:val="single" w:color="000000" w:sz="0" w:space="0"/>
              <w:right w:val="single" w:color="000000" w:sz="0" w:space="0"/>
            </w:tcBorders>
            <w:shd w:val="clear" w:color="auto" w:fill="E7E6E6"/>
            <w:vAlign w:val="center"/>
          </w:tcPr>
          <w:p>
            <w:pPr>
              <w:widowControl/>
              <w:spacing w:line="360" w:lineRule="exact"/>
              <w:jc w:val="center"/>
              <w:textAlignment w:val="center"/>
              <w:rPr>
                <w:rFonts w:eastAsia="仿宋_GB2312"/>
                <w:b/>
                <w:sz w:val="24"/>
              </w:rPr>
            </w:pPr>
            <w:r>
              <w:rPr>
                <w:rFonts w:eastAsia="仿宋_GB2312"/>
                <w:b/>
                <w:kern w:val="0"/>
                <w:sz w:val="24"/>
                <w:lang w:bidi="ar"/>
              </w:rPr>
              <w:t>已完成保护修缮数量</w:t>
            </w:r>
          </w:p>
        </w:tc>
      </w:tr>
      <w:tr>
        <w:tblPrEx>
          <w:tblCellMar>
            <w:top w:w="0" w:type="dxa"/>
            <w:left w:w="108" w:type="dxa"/>
            <w:bottom w:w="0" w:type="dxa"/>
            <w:right w:w="108" w:type="dxa"/>
          </w:tblCellMar>
        </w:tblPrEx>
        <w:trPr>
          <w:trHeight w:val="23" w:hRule="atLeast"/>
          <w:jc w:val="center"/>
        </w:trPr>
        <w:tc>
          <w:tcPr>
            <w:tcW w:w="1205" w:type="dxa"/>
            <w:vMerge w:val="restart"/>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center"/>
              <w:textAlignment w:val="center"/>
              <w:rPr>
                <w:rFonts w:eastAsia="仿宋_GB2312"/>
                <w:b/>
                <w:sz w:val="24"/>
              </w:rPr>
            </w:pPr>
            <w:r>
              <w:rPr>
                <w:rFonts w:eastAsia="仿宋_GB2312"/>
                <w:b/>
                <w:kern w:val="0"/>
                <w:sz w:val="24"/>
                <w:lang w:bidi="ar"/>
              </w:rPr>
              <w:t>历史建筑</w:t>
            </w: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认定公布历史建筑的数量（处）</w:t>
            </w:r>
          </w:p>
        </w:tc>
        <w:tc>
          <w:tcPr>
            <w:tcW w:w="1938"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eastAsia" w:eastAsia="仿宋_GB2312"/>
                <w:color w:val="auto"/>
                <w:sz w:val="24"/>
                <w:lang w:val="en-US" w:eastAsia="zh-CN"/>
              </w:rPr>
            </w:pPr>
            <w:r>
              <w:rPr>
                <w:rFonts w:hint="eastAsia" w:eastAsia="仿宋_GB2312"/>
                <w:color w:val="auto"/>
                <w:sz w:val="24"/>
              </w:rPr>
              <w:t>3</w:t>
            </w:r>
            <w:r>
              <w:rPr>
                <w:rFonts w:hint="eastAsia" w:eastAsia="仿宋_GB2312"/>
                <w:color w:val="auto"/>
                <w:sz w:val="24"/>
                <w:lang w:val="en-US" w:eastAsia="zh-CN"/>
              </w:rPr>
              <w:t>9</w:t>
            </w:r>
          </w:p>
        </w:tc>
        <w:tc>
          <w:tcPr>
            <w:tcW w:w="1182"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eastAsia" w:eastAsia="仿宋_GB2312"/>
                <w:color w:val="auto"/>
                <w:sz w:val="24"/>
                <w:lang w:val="en-US" w:eastAsia="zh-CN"/>
              </w:rPr>
            </w:pPr>
            <w:r>
              <w:rPr>
                <w:rFonts w:hint="eastAsia" w:eastAsia="仿宋_GB2312"/>
                <w:color w:val="auto"/>
                <w:sz w:val="24"/>
              </w:rPr>
              <w:t>3</w:t>
            </w:r>
            <w:r>
              <w:rPr>
                <w:rFonts w:hint="eastAsia" w:eastAsia="仿宋_GB2312"/>
                <w:color w:val="auto"/>
                <w:sz w:val="24"/>
                <w:lang w:val="en-US" w:eastAsia="zh-CN"/>
              </w:rPr>
              <w:t>9</w:t>
            </w:r>
          </w:p>
        </w:tc>
        <w:tc>
          <w:tcPr>
            <w:tcW w:w="668"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eastAsia="仿宋_GB2312"/>
                <w:color w:val="auto"/>
                <w:sz w:val="24"/>
              </w:rPr>
            </w:pPr>
            <w:r>
              <w:rPr>
                <w:rFonts w:hint="eastAsia" w:eastAsia="仿宋_GB2312"/>
                <w:color w:val="auto"/>
                <w:sz w:val="24"/>
              </w:rPr>
              <w:t>3</w:t>
            </w:r>
            <w:r>
              <w:rPr>
                <w:rFonts w:eastAsia="仿宋_GB2312"/>
                <w:color w:val="auto"/>
                <w:sz w:val="24"/>
              </w:rPr>
              <w:t>5</w:t>
            </w:r>
          </w:p>
        </w:tc>
        <w:tc>
          <w:tcPr>
            <w:tcW w:w="842"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eastAsia="仿宋_GB2312"/>
                <w:color w:val="auto"/>
                <w:sz w:val="24"/>
              </w:rPr>
            </w:pPr>
            <w:r>
              <w:rPr>
                <w:rFonts w:hint="eastAsia" w:eastAsia="仿宋_GB2312"/>
                <w:color w:val="auto"/>
                <w:sz w:val="24"/>
              </w:rPr>
              <w:t>3</w:t>
            </w:r>
            <w:r>
              <w:rPr>
                <w:rFonts w:eastAsia="仿宋_GB2312"/>
                <w:color w:val="auto"/>
                <w:sz w:val="24"/>
              </w:rPr>
              <w:t>5</w:t>
            </w:r>
          </w:p>
        </w:tc>
        <w:tc>
          <w:tcPr>
            <w:tcW w:w="784"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eastAsia="仿宋_GB2312"/>
                <w:color w:val="auto"/>
                <w:sz w:val="24"/>
                <w:highlight w:val="none"/>
              </w:rPr>
            </w:pPr>
            <w:r>
              <w:rPr>
                <w:rFonts w:hint="eastAsia" w:eastAsia="仿宋_GB2312"/>
                <w:color w:val="auto"/>
                <w:sz w:val="24"/>
                <w:highlight w:val="none"/>
              </w:rPr>
              <w:t>3</w:t>
            </w:r>
            <w:r>
              <w:rPr>
                <w:rFonts w:eastAsia="仿宋_GB2312"/>
                <w:color w:val="auto"/>
                <w:sz w:val="24"/>
                <w:highlight w:val="none"/>
              </w:rPr>
              <w:t>5</w:t>
            </w:r>
          </w:p>
        </w:tc>
        <w:tc>
          <w:tcPr>
            <w:tcW w:w="824"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23</w:t>
            </w:r>
          </w:p>
        </w:tc>
      </w:tr>
      <w:tr>
        <w:tblPrEx>
          <w:tblCellMar>
            <w:top w:w="0" w:type="dxa"/>
            <w:left w:w="108" w:type="dxa"/>
            <w:bottom w:w="0" w:type="dxa"/>
            <w:right w:w="108" w:type="dxa"/>
          </w:tblCellMar>
        </w:tblPrEx>
        <w:trPr>
          <w:trHeight w:val="23" w:hRule="atLeast"/>
          <w:jc w:val="center"/>
        </w:trPr>
        <w:tc>
          <w:tcPr>
            <w:tcW w:w="1205"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eastAsia="仿宋_GB2312"/>
                <w:b/>
                <w:sz w:val="24"/>
              </w:rPr>
            </w:pP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总基底面积（万平方米）</w:t>
            </w:r>
          </w:p>
        </w:tc>
        <w:tc>
          <w:tcPr>
            <w:tcW w:w="1938"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2.6</w:t>
            </w:r>
          </w:p>
        </w:tc>
        <w:tc>
          <w:tcPr>
            <w:tcW w:w="1182"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2.6</w:t>
            </w:r>
          </w:p>
        </w:tc>
        <w:tc>
          <w:tcPr>
            <w:tcW w:w="668"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2.6</w:t>
            </w:r>
          </w:p>
        </w:tc>
        <w:tc>
          <w:tcPr>
            <w:tcW w:w="842"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2.6</w:t>
            </w:r>
          </w:p>
        </w:tc>
        <w:tc>
          <w:tcPr>
            <w:tcW w:w="784"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2.6</w:t>
            </w:r>
          </w:p>
        </w:tc>
        <w:tc>
          <w:tcPr>
            <w:tcW w:w="824"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1.7</w:t>
            </w:r>
          </w:p>
        </w:tc>
      </w:tr>
      <w:tr>
        <w:tblPrEx>
          <w:tblCellMar>
            <w:top w:w="0" w:type="dxa"/>
            <w:left w:w="108" w:type="dxa"/>
            <w:bottom w:w="0" w:type="dxa"/>
            <w:right w:w="108" w:type="dxa"/>
          </w:tblCellMar>
        </w:tblPrEx>
        <w:trPr>
          <w:trHeight w:val="23" w:hRule="atLeast"/>
          <w:jc w:val="center"/>
        </w:trPr>
        <w:tc>
          <w:tcPr>
            <w:tcW w:w="1205"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eastAsia="仿宋_GB2312"/>
                <w:b/>
                <w:sz w:val="24"/>
              </w:rPr>
            </w:pP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总建筑面积（万平方米）</w:t>
            </w:r>
          </w:p>
        </w:tc>
        <w:tc>
          <w:tcPr>
            <w:tcW w:w="1938"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2.9</w:t>
            </w:r>
          </w:p>
        </w:tc>
        <w:tc>
          <w:tcPr>
            <w:tcW w:w="1182"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2.9</w:t>
            </w:r>
          </w:p>
        </w:tc>
        <w:tc>
          <w:tcPr>
            <w:tcW w:w="668"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2.9</w:t>
            </w:r>
          </w:p>
        </w:tc>
        <w:tc>
          <w:tcPr>
            <w:tcW w:w="842"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2.9</w:t>
            </w:r>
          </w:p>
        </w:tc>
        <w:tc>
          <w:tcPr>
            <w:tcW w:w="784"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2.9</w:t>
            </w:r>
          </w:p>
        </w:tc>
        <w:tc>
          <w:tcPr>
            <w:tcW w:w="824" w:type="dxa"/>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rPr>
                <w:rFonts w:hint="default" w:eastAsia="仿宋_GB2312"/>
                <w:color w:val="auto"/>
                <w:sz w:val="24"/>
                <w:highlight w:val="none"/>
                <w:lang w:val="en-US" w:eastAsia="zh-CN"/>
              </w:rPr>
            </w:pPr>
            <w:r>
              <w:rPr>
                <w:rFonts w:hint="eastAsia" w:eastAsia="仿宋_GB2312"/>
                <w:color w:val="auto"/>
                <w:sz w:val="24"/>
                <w:highlight w:val="none"/>
                <w:lang w:val="en-US" w:eastAsia="zh-CN"/>
              </w:rPr>
              <w:t>1.7</w:t>
            </w:r>
          </w:p>
        </w:tc>
      </w:tr>
      <w:tr>
        <w:tblPrEx>
          <w:tblCellMar>
            <w:top w:w="0" w:type="dxa"/>
            <w:left w:w="108" w:type="dxa"/>
            <w:bottom w:w="0" w:type="dxa"/>
            <w:right w:w="108" w:type="dxa"/>
          </w:tblCellMar>
        </w:tblPrEx>
        <w:trPr>
          <w:trHeight w:val="23" w:hRule="atLeast"/>
          <w:jc w:val="center"/>
        </w:trPr>
        <w:tc>
          <w:tcPr>
            <w:tcW w:w="1205"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center"/>
              <w:textAlignment w:val="center"/>
              <w:rPr>
                <w:rFonts w:eastAsia="仿宋_GB2312"/>
                <w:b/>
                <w:sz w:val="24"/>
              </w:rPr>
            </w:pPr>
            <w:r>
              <w:rPr>
                <w:rFonts w:eastAsia="仿宋_GB2312"/>
                <w:b/>
                <w:kern w:val="0"/>
                <w:sz w:val="24"/>
                <w:lang w:bidi="ar"/>
              </w:rPr>
              <w:t>传统风貌建筑</w:t>
            </w: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认定公布传统风貌建筑数量（处）</w:t>
            </w:r>
          </w:p>
        </w:tc>
        <w:tc>
          <w:tcPr>
            <w:tcW w:w="6238" w:type="dxa"/>
            <w:gridSpan w:val="6"/>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w:t>
            </w:r>
          </w:p>
        </w:tc>
      </w:tr>
      <w:tr>
        <w:tblPrEx>
          <w:tblCellMar>
            <w:top w:w="0" w:type="dxa"/>
            <w:left w:w="108" w:type="dxa"/>
            <w:bottom w:w="0" w:type="dxa"/>
            <w:right w:w="108" w:type="dxa"/>
          </w:tblCellMar>
        </w:tblPrEx>
        <w:trPr>
          <w:trHeight w:val="23" w:hRule="atLeast"/>
          <w:jc w:val="center"/>
        </w:trPr>
        <w:tc>
          <w:tcPr>
            <w:tcW w:w="1205"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center"/>
              <w:textAlignment w:val="center"/>
              <w:rPr>
                <w:rFonts w:eastAsia="仿宋_GB2312"/>
                <w:b/>
                <w:sz w:val="24"/>
              </w:rPr>
            </w:pPr>
            <w:r>
              <w:rPr>
                <w:rFonts w:eastAsia="仿宋_GB2312"/>
                <w:b/>
                <w:sz w:val="24"/>
              </w:rPr>
              <w:t>50年以上建筑</w:t>
            </w: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sz w:val="24"/>
              </w:rPr>
              <w:t>普查数量（栋）</w:t>
            </w:r>
          </w:p>
        </w:tc>
        <w:tc>
          <w:tcPr>
            <w:tcW w:w="6238" w:type="dxa"/>
            <w:gridSpan w:val="6"/>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1704</w:t>
            </w:r>
          </w:p>
        </w:tc>
      </w:tr>
      <w:tr>
        <w:tblPrEx>
          <w:tblCellMar>
            <w:top w:w="0" w:type="dxa"/>
            <w:left w:w="108" w:type="dxa"/>
            <w:bottom w:w="0" w:type="dxa"/>
            <w:right w:w="108" w:type="dxa"/>
          </w:tblCellMar>
        </w:tblPrEx>
        <w:trPr>
          <w:trHeight w:val="23" w:hRule="atLeast"/>
          <w:jc w:val="center"/>
        </w:trPr>
        <w:tc>
          <w:tcPr>
            <w:tcW w:w="1205" w:type="dxa"/>
            <w:vMerge w:val="restart"/>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center"/>
              <w:textAlignment w:val="center"/>
              <w:rPr>
                <w:rFonts w:eastAsia="仿宋_GB2312"/>
                <w:b/>
                <w:sz w:val="24"/>
              </w:rPr>
            </w:pPr>
            <w:r>
              <w:rPr>
                <w:rFonts w:eastAsia="仿宋_GB2312"/>
                <w:b/>
                <w:kern w:val="0"/>
                <w:sz w:val="24"/>
                <w:lang w:bidi="ar"/>
              </w:rPr>
              <w:t>文物保护单位</w:t>
            </w: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全国重点文物保护单位数量（处）</w:t>
            </w:r>
          </w:p>
        </w:tc>
        <w:tc>
          <w:tcPr>
            <w:tcW w:w="6238" w:type="dxa"/>
            <w:gridSpan w:val="6"/>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1</w:t>
            </w:r>
          </w:p>
        </w:tc>
      </w:tr>
      <w:tr>
        <w:tblPrEx>
          <w:tblCellMar>
            <w:top w:w="0" w:type="dxa"/>
            <w:left w:w="108" w:type="dxa"/>
            <w:bottom w:w="0" w:type="dxa"/>
            <w:right w:w="108" w:type="dxa"/>
          </w:tblCellMar>
        </w:tblPrEx>
        <w:trPr>
          <w:trHeight w:val="23" w:hRule="atLeast"/>
          <w:jc w:val="center"/>
        </w:trPr>
        <w:tc>
          <w:tcPr>
            <w:tcW w:w="1205"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eastAsia="仿宋_GB2312"/>
                <w:b/>
                <w:sz w:val="24"/>
              </w:rPr>
            </w:pP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省级文物保护单位数量（处）</w:t>
            </w:r>
          </w:p>
        </w:tc>
        <w:tc>
          <w:tcPr>
            <w:tcW w:w="6238" w:type="dxa"/>
            <w:gridSpan w:val="6"/>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8</w:t>
            </w:r>
          </w:p>
        </w:tc>
      </w:tr>
      <w:tr>
        <w:tblPrEx>
          <w:tblCellMar>
            <w:top w:w="0" w:type="dxa"/>
            <w:left w:w="108" w:type="dxa"/>
            <w:bottom w:w="0" w:type="dxa"/>
            <w:right w:w="108" w:type="dxa"/>
          </w:tblCellMar>
        </w:tblPrEx>
        <w:trPr>
          <w:trHeight w:val="23" w:hRule="atLeast"/>
          <w:jc w:val="center"/>
        </w:trPr>
        <w:tc>
          <w:tcPr>
            <w:tcW w:w="1205"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eastAsia="仿宋_GB2312"/>
                <w:b/>
                <w:sz w:val="24"/>
              </w:rPr>
            </w:pP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市（县）级文物保护单位数量（处）</w:t>
            </w:r>
          </w:p>
        </w:tc>
        <w:tc>
          <w:tcPr>
            <w:tcW w:w="6238" w:type="dxa"/>
            <w:gridSpan w:val="6"/>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77</w:t>
            </w:r>
          </w:p>
        </w:tc>
      </w:tr>
      <w:tr>
        <w:tblPrEx>
          <w:tblCellMar>
            <w:top w:w="0" w:type="dxa"/>
            <w:left w:w="108" w:type="dxa"/>
            <w:bottom w:w="0" w:type="dxa"/>
            <w:right w:w="108" w:type="dxa"/>
          </w:tblCellMar>
        </w:tblPrEx>
        <w:trPr>
          <w:trHeight w:val="23" w:hRule="atLeast"/>
          <w:jc w:val="center"/>
        </w:trPr>
        <w:tc>
          <w:tcPr>
            <w:tcW w:w="1205"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center"/>
              <w:textAlignment w:val="center"/>
              <w:rPr>
                <w:rFonts w:eastAsia="仿宋_GB2312"/>
                <w:b/>
                <w:sz w:val="24"/>
              </w:rPr>
            </w:pPr>
            <w:r>
              <w:rPr>
                <w:rFonts w:eastAsia="仿宋_GB2312"/>
                <w:b/>
                <w:kern w:val="0"/>
                <w:sz w:val="24"/>
                <w:lang w:bidi="ar"/>
              </w:rPr>
              <w:t>未核定公布为文物保护单位的不可移动文物</w:t>
            </w:r>
          </w:p>
        </w:tc>
        <w:tc>
          <w:tcPr>
            <w:tcW w:w="2257"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spacing w:line="360" w:lineRule="exact"/>
              <w:jc w:val="left"/>
              <w:textAlignment w:val="center"/>
              <w:rPr>
                <w:rFonts w:eastAsia="仿宋_GB2312"/>
                <w:sz w:val="24"/>
              </w:rPr>
            </w:pPr>
            <w:r>
              <w:rPr>
                <w:rFonts w:eastAsia="仿宋_GB2312"/>
                <w:kern w:val="0"/>
                <w:sz w:val="24"/>
                <w:lang w:bidi="ar"/>
              </w:rPr>
              <w:t>数量（处）</w:t>
            </w:r>
          </w:p>
        </w:tc>
        <w:tc>
          <w:tcPr>
            <w:tcW w:w="6238" w:type="dxa"/>
            <w:gridSpan w:val="6"/>
            <w:tcBorders>
              <w:top w:val="single" w:color="000000" w:sz="0" w:space="0"/>
              <w:left w:val="single" w:color="000000" w:sz="0" w:space="0"/>
              <w:bottom w:val="single" w:color="000000" w:sz="0" w:space="0"/>
              <w:right w:val="single" w:color="000000" w:sz="0" w:space="0"/>
            </w:tcBorders>
            <w:shd w:val="clear" w:color="auto" w:fill="auto"/>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33</w:t>
            </w:r>
          </w:p>
        </w:tc>
      </w:tr>
    </w:tbl>
    <w:p>
      <w:pPr>
        <w:pStyle w:val="13"/>
        <w:rPr>
          <w:rFonts w:ascii="Times New Roman" w:hAnsi="Times New Roman" w:cs="Times New Roman"/>
        </w:rPr>
      </w:pPr>
    </w:p>
    <w:p>
      <w:pPr>
        <w:tabs>
          <w:tab w:val="left" w:pos="12960"/>
        </w:tabs>
        <w:spacing w:line="400" w:lineRule="exact"/>
        <w:rPr>
          <w:rFonts w:eastAsia="仿宋_GB2312"/>
          <w:b/>
          <w:bCs/>
          <w:sz w:val="24"/>
        </w:rPr>
      </w:pPr>
      <w:r>
        <w:rPr>
          <w:rFonts w:eastAsia="仿宋_GB2312"/>
          <w:b/>
          <w:bCs/>
          <w:sz w:val="24"/>
        </w:rPr>
        <w:br w:type="page"/>
      </w:r>
      <w:r>
        <w:rPr>
          <w:rFonts w:eastAsia="仿宋_GB2312"/>
          <w:sz w:val="32"/>
          <w:szCs w:val="32"/>
        </w:rPr>
        <w:t>附件3</w:t>
      </w:r>
    </w:p>
    <w:p>
      <w:pPr>
        <w:spacing w:line="600" w:lineRule="exact"/>
        <w:jc w:val="center"/>
        <w:rPr>
          <w:rFonts w:eastAsia="黑体"/>
          <w:sz w:val="40"/>
          <w:szCs w:val="40"/>
        </w:rPr>
      </w:pPr>
      <w:r>
        <w:rPr>
          <w:rFonts w:eastAsia="方正小标宋简体"/>
          <w:sz w:val="40"/>
          <w:szCs w:val="40"/>
        </w:rPr>
        <w:t>保护管理责任落实情况表</w:t>
      </w:r>
    </w:p>
    <w:tbl>
      <w:tblPr>
        <w:tblStyle w:val="9"/>
        <w:tblW w:w="9669" w:type="dxa"/>
        <w:jc w:val="center"/>
        <w:tblLayout w:type="fixed"/>
        <w:tblCellMar>
          <w:top w:w="0" w:type="dxa"/>
          <w:left w:w="108" w:type="dxa"/>
          <w:bottom w:w="0" w:type="dxa"/>
          <w:right w:w="108" w:type="dxa"/>
        </w:tblCellMar>
      </w:tblPr>
      <w:tblGrid>
        <w:gridCol w:w="1571"/>
        <w:gridCol w:w="3198"/>
        <w:gridCol w:w="1882"/>
        <w:gridCol w:w="890"/>
        <w:gridCol w:w="2128"/>
      </w:tblGrid>
      <w:tr>
        <w:tblPrEx>
          <w:tblCellMar>
            <w:top w:w="0" w:type="dxa"/>
            <w:left w:w="108" w:type="dxa"/>
            <w:bottom w:w="0" w:type="dxa"/>
            <w:right w:w="108" w:type="dxa"/>
          </w:tblCellMar>
        </w:tblPrEx>
        <w:trPr>
          <w:trHeight w:val="488" w:hRule="atLeast"/>
          <w:jc w:val="center"/>
        </w:trPr>
        <w:tc>
          <w:tcPr>
            <w:tcW w:w="1571" w:type="dxa"/>
            <w:vMerge w:val="restart"/>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b/>
                <w:sz w:val="24"/>
              </w:rPr>
            </w:pPr>
            <w:r>
              <w:rPr>
                <w:rFonts w:eastAsia="仿宋_GB2312"/>
                <w:b/>
                <w:kern w:val="0"/>
                <w:sz w:val="24"/>
                <w:lang w:bidi="ar"/>
              </w:rPr>
              <w:t>地方性法规、规章和技术标准</w:t>
            </w: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地方性法规名称和批准单位</w:t>
            </w:r>
          </w:p>
        </w:tc>
        <w:tc>
          <w:tcPr>
            <w:tcW w:w="1882" w:type="dxa"/>
            <w:tcBorders>
              <w:top w:val="single" w:color="000000" w:sz="0" w:space="0"/>
              <w:left w:val="single" w:color="000000" w:sz="0" w:space="0"/>
              <w:bottom w:val="single" w:color="000000" w:sz="0" w:space="0"/>
              <w:right w:val="single" w:color="000000" w:sz="0" w:space="0"/>
            </w:tcBorders>
            <w:shd w:val="clear" w:color="auto" w:fill="auto"/>
            <w:vAlign w:val="center"/>
          </w:tcPr>
          <w:p>
            <w:pPr>
              <w:numPr>
                <w:ilvl w:val="0"/>
                <w:numId w:val="2"/>
              </w:numPr>
              <w:jc w:val="both"/>
              <w:rPr>
                <w:rFonts w:hint="default"/>
                <w:color w:val="auto"/>
                <w:lang w:val="en-US" w:eastAsia="zh-CN"/>
              </w:rPr>
            </w:pPr>
            <w:r>
              <w:rPr>
                <w:rFonts w:hint="eastAsia"/>
                <w:color w:val="auto"/>
                <w:lang w:val="en-US" w:eastAsia="zh-CN"/>
              </w:rPr>
              <w:t>《福建省文物保护管理条例》，福建省人民代表大会常务委员会；</w:t>
            </w:r>
          </w:p>
          <w:p>
            <w:pPr>
              <w:pStyle w:val="8"/>
              <w:numPr>
                <w:ilvl w:val="0"/>
                <w:numId w:val="2"/>
              </w:numPr>
              <w:ind w:left="0" w:leftChars="0" w:firstLine="0" w:firstLineChars="0"/>
              <w:rPr>
                <w:rFonts w:hint="eastAsia"/>
                <w:color w:val="auto"/>
                <w:lang w:val="en-US" w:eastAsia="zh-CN"/>
              </w:rPr>
            </w:pPr>
            <w:r>
              <w:rPr>
                <w:rFonts w:hint="eastAsia"/>
                <w:color w:val="auto"/>
                <w:lang w:val="en-US" w:eastAsia="zh-CN"/>
              </w:rPr>
              <w:t>《福建省历史文化名城名镇名村和传统村落保护条例》，福建省人大常委会；</w:t>
            </w:r>
          </w:p>
          <w:p>
            <w:pPr>
              <w:pStyle w:val="8"/>
              <w:numPr>
                <w:ilvl w:val="0"/>
                <w:numId w:val="2"/>
              </w:numPr>
              <w:ind w:left="0" w:leftChars="0" w:firstLine="0" w:firstLineChars="0"/>
              <w:rPr>
                <w:rFonts w:hint="default"/>
                <w:color w:val="auto"/>
                <w:lang w:val="en-US" w:eastAsia="zh-CN"/>
              </w:rPr>
            </w:pPr>
            <w:r>
              <w:rPr>
                <w:rFonts w:hint="eastAsia"/>
                <w:color w:val="auto"/>
                <w:lang w:val="en-US" w:eastAsia="zh-CN"/>
              </w:rPr>
              <w:t>《福州市历史文化名城保护条例》，福建省人大常委会。</w:t>
            </w:r>
          </w:p>
          <w:p>
            <w:pPr>
              <w:pStyle w:val="8"/>
              <w:rPr>
                <w:rFonts w:hint="default" w:eastAsia="仿宋_GB2312"/>
                <w:color w:val="auto"/>
                <w:sz w:val="24"/>
                <w:lang w:val="en-US" w:eastAsia="zh-CN"/>
              </w:rPr>
            </w:pPr>
          </w:p>
        </w:tc>
        <w:tc>
          <w:tcPr>
            <w:tcW w:w="890"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color w:val="auto"/>
                <w:sz w:val="24"/>
              </w:rPr>
            </w:pPr>
            <w:r>
              <w:rPr>
                <w:rFonts w:eastAsia="仿宋_GB2312"/>
                <w:color w:val="auto"/>
                <w:kern w:val="0"/>
                <w:sz w:val="24"/>
                <w:lang w:bidi="ar"/>
              </w:rPr>
              <w:t>实施时间</w:t>
            </w:r>
          </w:p>
        </w:tc>
        <w:tc>
          <w:tcPr>
            <w:tcW w:w="212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hint="eastAsia"/>
                <w:color w:val="auto"/>
                <w:lang w:val="en-US" w:eastAsia="zh-CN"/>
              </w:rPr>
            </w:pPr>
            <w:r>
              <w:rPr>
                <w:rFonts w:hint="eastAsia"/>
                <w:color w:val="auto"/>
                <w:lang w:val="en-US" w:eastAsia="zh-CN"/>
              </w:rPr>
              <w:t>1.2009年8月2日；</w:t>
            </w:r>
          </w:p>
          <w:p>
            <w:pPr>
              <w:widowControl/>
              <w:jc w:val="left"/>
              <w:textAlignment w:val="center"/>
              <w:rPr>
                <w:rFonts w:hint="eastAsia"/>
                <w:color w:val="auto"/>
                <w:lang w:val="en-US" w:eastAsia="zh-CN"/>
              </w:rPr>
            </w:pPr>
            <w:r>
              <w:rPr>
                <w:rFonts w:hint="eastAsia"/>
                <w:color w:val="auto"/>
                <w:lang w:val="en-US" w:eastAsia="zh-CN"/>
              </w:rPr>
              <w:t>2.2017年3月31日；</w:t>
            </w:r>
          </w:p>
          <w:p>
            <w:pPr>
              <w:pStyle w:val="8"/>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3.20</w:t>
            </w:r>
            <w:r>
              <w:rPr>
                <w:rFonts w:hint="eastAsia" w:cs="Times New Roman"/>
                <w:color w:val="auto"/>
                <w:kern w:val="2"/>
                <w:sz w:val="21"/>
                <w:szCs w:val="24"/>
                <w:lang w:val="en-US" w:eastAsia="zh-CN" w:bidi="ar-SA"/>
              </w:rPr>
              <w:t>21</w:t>
            </w:r>
            <w:r>
              <w:rPr>
                <w:rFonts w:hint="eastAsia" w:ascii="Times New Roman" w:hAnsi="Times New Roman" w:eastAsia="宋体" w:cs="Times New Roman"/>
                <w:color w:val="auto"/>
                <w:kern w:val="2"/>
                <w:sz w:val="21"/>
                <w:szCs w:val="24"/>
                <w:lang w:val="en-US" w:eastAsia="zh-CN" w:bidi="ar-SA"/>
              </w:rPr>
              <w:t>年</w:t>
            </w:r>
            <w:r>
              <w:rPr>
                <w:rFonts w:hint="eastAsia" w:cs="Times New Roman"/>
                <w:color w:val="auto"/>
                <w:kern w:val="2"/>
                <w:sz w:val="21"/>
                <w:szCs w:val="24"/>
                <w:lang w:val="en-US" w:eastAsia="zh-CN" w:bidi="ar-SA"/>
              </w:rPr>
              <w:t>12</w:t>
            </w:r>
            <w:r>
              <w:rPr>
                <w:rFonts w:hint="eastAsia" w:ascii="Times New Roman" w:hAnsi="Times New Roman" w:eastAsia="宋体" w:cs="Times New Roman"/>
                <w:color w:val="auto"/>
                <w:kern w:val="2"/>
                <w:sz w:val="21"/>
                <w:szCs w:val="24"/>
                <w:lang w:val="en-US" w:eastAsia="zh-CN" w:bidi="ar-SA"/>
              </w:rPr>
              <w:t>月</w:t>
            </w:r>
            <w:r>
              <w:rPr>
                <w:rFonts w:hint="eastAsia" w:cs="Times New Roman"/>
                <w:color w:val="auto"/>
                <w:kern w:val="2"/>
                <w:sz w:val="21"/>
                <w:szCs w:val="24"/>
                <w:lang w:val="en-US" w:eastAsia="zh-CN" w:bidi="ar-SA"/>
              </w:rPr>
              <w:t>15</w:t>
            </w:r>
            <w:r>
              <w:rPr>
                <w:rFonts w:hint="eastAsia" w:ascii="Times New Roman" w:hAnsi="Times New Roman" w:eastAsia="宋体" w:cs="Times New Roman"/>
                <w:color w:val="auto"/>
                <w:kern w:val="2"/>
                <w:sz w:val="21"/>
                <w:szCs w:val="24"/>
                <w:lang w:val="en-US" w:eastAsia="zh-CN" w:bidi="ar-SA"/>
              </w:rPr>
              <w:t>日</w:t>
            </w:r>
            <w:r>
              <w:rPr>
                <w:rFonts w:hint="eastAsia" w:cs="Times New Roman"/>
                <w:color w:val="auto"/>
                <w:kern w:val="2"/>
                <w:sz w:val="21"/>
                <w:szCs w:val="24"/>
                <w:lang w:val="en-US" w:eastAsia="zh-CN" w:bidi="ar-SA"/>
              </w:rPr>
              <w:t>。</w:t>
            </w:r>
          </w:p>
          <w:p>
            <w:pPr>
              <w:pStyle w:val="8"/>
              <w:ind w:left="0" w:leftChars="0" w:firstLine="0" w:firstLineChars="0"/>
              <w:rPr>
                <w:rFonts w:hint="default" w:eastAsia="仿宋_GB2312"/>
                <w:color w:val="auto"/>
                <w:kern w:val="0"/>
                <w:sz w:val="24"/>
                <w:lang w:val="en-US" w:eastAsia="zh-CN" w:bidi="ar"/>
              </w:rPr>
            </w:pPr>
          </w:p>
        </w:tc>
      </w:tr>
      <w:tr>
        <w:tblPrEx>
          <w:tblCellMar>
            <w:top w:w="0" w:type="dxa"/>
            <w:left w:w="108" w:type="dxa"/>
            <w:bottom w:w="0" w:type="dxa"/>
            <w:right w:w="108" w:type="dxa"/>
          </w:tblCellMar>
        </w:tblPrEx>
        <w:trPr>
          <w:trHeight w:val="455"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地方规章名称和批准单位</w:t>
            </w:r>
          </w:p>
        </w:tc>
        <w:tc>
          <w:tcPr>
            <w:tcW w:w="1882" w:type="dxa"/>
            <w:tcBorders>
              <w:top w:val="single" w:color="000000" w:sz="0" w:space="0"/>
              <w:left w:val="single" w:color="000000" w:sz="0" w:space="0"/>
              <w:bottom w:val="single" w:color="000000" w:sz="0" w:space="0"/>
              <w:right w:val="single" w:color="000000" w:sz="0" w:space="0"/>
            </w:tcBorders>
            <w:shd w:val="clear" w:color="auto" w:fill="auto"/>
            <w:vAlign w:val="center"/>
          </w:tcPr>
          <w:p>
            <w:pPr>
              <w:numPr>
                <w:ilvl w:val="0"/>
                <w:numId w:val="3"/>
              </w:numPr>
              <w:jc w:val="both"/>
              <w:rPr>
                <w:rFonts w:hint="eastAsia"/>
                <w:lang w:val="en-US" w:eastAsia="zh-CN"/>
              </w:rPr>
            </w:pPr>
            <w:r>
              <w:rPr>
                <w:rFonts w:hint="eastAsia"/>
                <w:lang w:val="en-US" w:eastAsia="zh-CN"/>
              </w:rPr>
              <w:t>《关于进一步加强福州古厝保护工作的意见》，中共福州市委、福州市人民政府；</w:t>
            </w:r>
          </w:p>
          <w:p>
            <w:pPr>
              <w:numPr>
                <w:ilvl w:val="0"/>
                <w:numId w:val="0"/>
              </w:numPr>
              <w:jc w:val="both"/>
              <w:rPr>
                <w:rFonts w:hint="default"/>
                <w:lang w:val="en-US" w:eastAsia="zh-CN"/>
              </w:rPr>
            </w:pPr>
            <w:r>
              <w:rPr>
                <w:rFonts w:hint="eastAsia"/>
                <w:lang w:val="en-US" w:eastAsia="zh-CN"/>
              </w:rPr>
              <w:t>2.《福州市历史建筑保护管理办法（试行）》，福州市人民政府办公厅。</w:t>
            </w:r>
          </w:p>
        </w:tc>
        <w:tc>
          <w:tcPr>
            <w:tcW w:w="890"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sz w:val="24"/>
              </w:rPr>
            </w:pPr>
            <w:r>
              <w:rPr>
                <w:rFonts w:eastAsia="仿宋_GB2312"/>
                <w:kern w:val="0"/>
                <w:sz w:val="24"/>
                <w:lang w:bidi="ar"/>
              </w:rPr>
              <w:t>实施时间</w:t>
            </w:r>
          </w:p>
        </w:tc>
        <w:tc>
          <w:tcPr>
            <w:tcW w:w="2128" w:type="dxa"/>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lang w:val="en-US" w:eastAsia="zh-CN"/>
              </w:rPr>
            </w:pPr>
            <w:r>
              <w:rPr>
                <w:rFonts w:hint="eastAsia"/>
                <w:lang w:val="en-US" w:eastAsia="zh-CN"/>
              </w:rPr>
              <w:t>1.2019年7月28日；</w:t>
            </w:r>
          </w:p>
          <w:p>
            <w:pPr>
              <w:pStyle w:val="8"/>
              <w:ind w:left="0" w:leftChars="0" w:firstLine="0" w:firstLineChars="0"/>
              <w:rPr>
                <w:rFonts w:hint="default"/>
                <w:lang w:val="en-US" w:eastAsia="zh-CN"/>
              </w:rPr>
            </w:pPr>
            <w:r>
              <w:rPr>
                <w:rFonts w:hint="eastAsia" w:eastAsia="仿宋_GB2312"/>
                <w:sz w:val="24"/>
                <w:lang w:val="en-US" w:eastAsia="zh-CN"/>
              </w:rPr>
              <w:t>2.2019年5月31日。</w:t>
            </w:r>
          </w:p>
        </w:tc>
      </w:tr>
      <w:tr>
        <w:tblPrEx>
          <w:tblCellMar>
            <w:top w:w="0" w:type="dxa"/>
            <w:left w:w="108" w:type="dxa"/>
            <w:bottom w:w="0" w:type="dxa"/>
            <w:right w:w="108" w:type="dxa"/>
          </w:tblCellMar>
        </w:tblPrEx>
        <w:trPr>
          <w:trHeight w:val="665"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技术指引文件、导则、标准规范名称</w:t>
            </w:r>
            <w:r>
              <w:rPr>
                <w:rStyle w:val="14"/>
                <w:rFonts w:hint="default" w:ascii="Times New Roman" w:cs="Times New Roman"/>
                <w:color w:val="auto"/>
                <w:lang w:bidi="ar"/>
              </w:rPr>
              <w:t>（请逐一填写）</w:t>
            </w:r>
          </w:p>
        </w:tc>
        <w:tc>
          <w:tcPr>
            <w:tcW w:w="1882" w:type="dxa"/>
            <w:tcBorders>
              <w:top w:val="single" w:color="000000" w:sz="0" w:space="0"/>
              <w:left w:val="single" w:color="000000" w:sz="0" w:space="0"/>
              <w:bottom w:val="single" w:color="000000" w:sz="0" w:space="0"/>
              <w:right w:val="single" w:color="000000" w:sz="0" w:space="0"/>
            </w:tcBorders>
            <w:shd w:val="clear" w:color="auto" w:fill="auto"/>
            <w:vAlign w:val="center"/>
          </w:tcPr>
          <w:p>
            <w:pPr>
              <w:numPr>
                <w:ilvl w:val="0"/>
                <w:numId w:val="4"/>
              </w:numPr>
              <w:jc w:val="both"/>
              <w:rPr>
                <w:rFonts w:hint="eastAsia"/>
                <w:lang w:val="en-US" w:eastAsia="zh-CN"/>
              </w:rPr>
            </w:pPr>
            <w:r>
              <w:rPr>
                <w:rFonts w:hint="eastAsia"/>
                <w:lang w:val="en-US" w:eastAsia="zh-CN"/>
              </w:rPr>
              <w:t>《关于规范福州市历史建筑保护修缮工程管理的意见(试行)》，福州市人民政府办公厅；</w:t>
            </w:r>
          </w:p>
          <w:p>
            <w:pPr>
              <w:numPr>
                <w:ilvl w:val="0"/>
                <w:numId w:val="4"/>
              </w:numPr>
              <w:jc w:val="both"/>
              <w:rPr>
                <w:rFonts w:hint="eastAsia"/>
                <w:lang w:val="en-US" w:eastAsia="zh-CN"/>
              </w:rPr>
            </w:pPr>
            <w:r>
              <w:rPr>
                <w:rFonts w:hint="eastAsia"/>
                <w:lang w:val="en-US" w:eastAsia="zh-CN"/>
              </w:rPr>
              <w:t>《关于加强城市建设中文物保护工作的意见》，福州市人民政府办公厅；</w:t>
            </w:r>
          </w:p>
          <w:p>
            <w:pPr>
              <w:pStyle w:val="8"/>
              <w:numPr>
                <w:ilvl w:val="0"/>
                <w:numId w:val="4"/>
              </w:numPr>
              <w:ind w:left="0" w:leftChars="0" w:firstLine="0" w:firstLineChars="0"/>
              <w:rPr>
                <w:rFonts w:hint="default"/>
                <w:lang w:val="en-US" w:eastAsia="zh-CN"/>
              </w:rPr>
            </w:pPr>
            <w:r>
              <w:rPr>
                <w:rFonts w:hint="eastAsia"/>
                <w:lang w:val="en-US" w:eastAsia="zh-CN"/>
              </w:rPr>
              <w:t>《关于进一步加强福州市非物质文化遗产保护工作的十条措施》，福州市文化和旅游局、福州市财政局；</w:t>
            </w:r>
          </w:p>
          <w:p>
            <w:pPr>
              <w:pStyle w:val="8"/>
              <w:numPr>
                <w:ilvl w:val="0"/>
                <w:numId w:val="4"/>
              </w:numPr>
              <w:ind w:left="0" w:leftChars="0" w:firstLine="0" w:firstLineChars="0"/>
              <w:rPr>
                <w:rFonts w:hint="default"/>
                <w:lang w:val="en-US" w:eastAsia="zh-CN"/>
              </w:rPr>
            </w:pPr>
            <w:r>
              <w:rPr>
                <w:rFonts w:hint="eastAsia"/>
                <w:lang w:val="en-US" w:eastAsia="zh-CN"/>
              </w:rPr>
              <w:t>《福州市特色历史文化街区规划建设导则》，福州市特色历史文化街区建设工作领导小组办公室；</w:t>
            </w:r>
          </w:p>
          <w:p>
            <w:pPr>
              <w:pStyle w:val="8"/>
              <w:numPr>
                <w:ilvl w:val="0"/>
                <w:numId w:val="4"/>
              </w:numPr>
              <w:ind w:left="0" w:leftChars="0" w:firstLine="0" w:firstLineChars="0"/>
              <w:rPr>
                <w:rFonts w:hint="default"/>
                <w:lang w:val="en-US" w:eastAsia="zh-CN"/>
              </w:rPr>
            </w:pPr>
            <w:r>
              <w:rPr>
                <w:rFonts w:hint="eastAsia"/>
                <w:lang w:val="en-US" w:eastAsia="zh-CN"/>
              </w:rPr>
              <w:t>《福州市传统老街巷保护与整治导则》，福州市资规局、福州市规划设计研究院；</w:t>
            </w:r>
          </w:p>
          <w:p>
            <w:pPr>
              <w:pStyle w:val="8"/>
              <w:numPr>
                <w:ilvl w:val="0"/>
                <w:numId w:val="4"/>
              </w:numPr>
              <w:ind w:left="0" w:leftChars="0" w:firstLine="0" w:firstLineChars="0"/>
              <w:rPr>
                <w:rFonts w:hint="default"/>
                <w:lang w:val="en-US" w:eastAsia="zh-CN"/>
              </w:rPr>
            </w:pPr>
            <w:r>
              <w:rPr>
                <w:rFonts w:hint="eastAsia"/>
                <w:lang w:val="en-US" w:eastAsia="zh-CN"/>
              </w:rPr>
              <w:t>《福州市古厝认定标准及普查登记规程》，市名城委；</w:t>
            </w:r>
          </w:p>
          <w:p>
            <w:pPr>
              <w:pStyle w:val="8"/>
              <w:numPr>
                <w:ilvl w:val="0"/>
                <w:numId w:val="4"/>
              </w:numPr>
              <w:ind w:left="0" w:leftChars="0" w:firstLine="0" w:firstLineChars="0"/>
              <w:rPr>
                <w:rFonts w:hint="default"/>
                <w:lang w:val="en-US" w:eastAsia="zh-CN"/>
              </w:rPr>
            </w:pPr>
            <w:r>
              <w:rPr>
                <w:rFonts w:hint="eastAsia"/>
                <w:lang w:val="en-US" w:eastAsia="zh-CN"/>
              </w:rPr>
              <w:t>《福建省历史建筑认定导则（试行）》，福建省住建厅、福建省文物局。</w:t>
            </w:r>
          </w:p>
        </w:tc>
        <w:tc>
          <w:tcPr>
            <w:tcW w:w="890"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sz w:val="24"/>
              </w:rPr>
            </w:pPr>
            <w:r>
              <w:rPr>
                <w:rFonts w:eastAsia="仿宋_GB2312"/>
                <w:kern w:val="0"/>
                <w:sz w:val="24"/>
                <w:lang w:bidi="ar"/>
              </w:rPr>
              <w:t>实施时间</w:t>
            </w:r>
          </w:p>
        </w:tc>
        <w:tc>
          <w:tcPr>
            <w:tcW w:w="2128" w:type="dxa"/>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lang w:val="en-US" w:eastAsia="zh-CN"/>
              </w:rPr>
            </w:pPr>
            <w:r>
              <w:rPr>
                <w:rFonts w:hint="eastAsia"/>
                <w:lang w:val="en-US" w:eastAsia="zh-CN"/>
              </w:rPr>
              <w:t>1.2019年6月11日；</w:t>
            </w:r>
          </w:p>
          <w:p>
            <w:pPr>
              <w:pStyle w:val="8"/>
              <w:ind w:left="0" w:leftChars="0" w:firstLine="0" w:firstLineChars="0"/>
              <w:rPr>
                <w:rFonts w:hint="eastAsia" w:eastAsia="仿宋_GB2312"/>
                <w:sz w:val="24"/>
                <w:lang w:val="en-US" w:eastAsia="zh-CN"/>
              </w:rPr>
            </w:pPr>
            <w:r>
              <w:rPr>
                <w:rFonts w:hint="eastAsia" w:eastAsia="仿宋_GB2312"/>
                <w:sz w:val="24"/>
                <w:lang w:val="en-US" w:eastAsia="zh-CN"/>
              </w:rPr>
              <w:t>2.2019年7月27日；</w:t>
            </w:r>
          </w:p>
          <w:p>
            <w:pPr>
              <w:pStyle w:val="8"/>
              <w:ind w:left="0" w:leftChars="0" w:firstLine="0" w:firstLineChars="0"/>
              <w:rPr>
                <w:rFonts w:hint="eastAsia" w:eastAsia="仿宋_GB2312"/>
                <w:sz w:val="24"/>
                <w:lang w:val="en-US" w:eastAsia="zh-CN"/>
              </w:rPr>
            </w:pPr>
            <w:r>
              <w:rPr>
                <w:rFonts w:hint="eastAsia" w:eastAsia="仿宋_GB2312"/>
                <w:sz w:val="24"/>
                <w:lang w:val="en-US" w:eastAsia="zh-CN"/>
              </w:rPr>
              <w:t>3.2019年7月26日；</w:t>
            </w:r>
          </w:p>
          <w:p>
            <w:pPr>
              <w:pStyle w:val="8"/>
              <w:ind w:left="0" w:leftChars="0" w:firstLine="0" w:firstLineChars="0"/>
              <w:rPr>
                <w:rFonts w:hint="eastAsia" w:eastAsia="仿宋_GB2312"/>
                <w:sz w:val="24"/>
                <w:lang w:val="en-US" w:eastAsia="zh-CN"/>
              </w:rPr>
            </w:pPr>
            <w:r>
              <w:rPr>
                <w:rFonts w:hint="eastAsia" w:eastAsia="仿宋_GB2312"/>
                <w:sz w:val="24"/>
                <w:lang w:val="en-US" w:eastAsia="zh-CN"/>
              </w:rPr>
              <w:t>4.2019年6月；</w:t>
            </w:r>
          </w:p>
          <w:p>
            <w:pPr>
              <w:pStyle w:val="8"/>
              <w:ind w:left="0" w:leftChars="0" w:firstLine="0" w:firstLineChars="0"/>
              <w:rPr>
                <w:rFonts w:hint="eastAsia" w:eastAsia="仿宋_GB2312"/>
                <w:sz w:val="24"/>
                <w:lang w:val="en-US" w:eastAsia="zh-CN"/>
              </w:rPr>
            </w:pPr>
            <w:r>
              <w:rPr>
                <w:rFonts w:hint="eastAsia" w:eastAsia="仿宋_GB2312"/>
                <w:sz w:val="24"/>
                <w:lang w:val="en-US" w:eastAsia="zh-CN"/>
              </w:rPr>
              <w:t>5.2019年7月；</w:t>
            </w:r>
          </w:p>
          <w:p>
            <w:pPr>
              <w:pStyle w:val="8"/>
              <w:ind w:left="0" w:leftChars="0" w:firstLine="0" w:firstLineChars="0"/>
              <w:rPr>
                <w:rFonts w:hint="eastAsia" w:eastAsia="仿宋_GB2312"/>
                <w:sz w:val="24"/>
                <w:lang w:val="en-US" w:eastAsia="zh-CN"/>
              </w:rPr>
            </w:pPr>
            <w:r>
              <w:rPr>
                <w:rFonts w:hint="eastAsia" w:eastAsia="仿宋_GB2312"/>
                <w:sz w:val="24"/>
                <w:lang w:val="en-US" w:eastAsia="zh-CN"/>
              </w:rPr>
              <w:t>6.2021年1月；</w:t>
            </w:r>
          </w:p>
          <w:p>
            <w:pPr>
              <w:pStyle w:val="8"/>
              <w:ind w:left="0" w:leftChars="0" w:firstLine="0" w:firstLineChars="0"/>
              <w:rPr>
                <w:rFonts w:hint="default" w:eastAsia="仿宋_GB2312"/>
                <w:sz w:val="24"/>
                <w:lang w:val="en-US" w:eastAsia="zh-CN"/>
              </w:rPr>
            </w:pPr>
            <w:r>
              <w:rPr>
                <w:rFonts w:hint="eastAsia" w:eastAsia="仿宋_GB2312"/>
                <w:sz w:val="24"/>
                <w:lang w:val="en-US" w:eastAsia="zh-CN"/>
              </w:rPr>
              <w:t>7.2019年12月。</w:t>
            </w:r>
          </w:p>
        </w:tc>
      </w:tr>
      <w:tr>
        <w:tblPrEx>
          <w:tblCellMar>
            <w:top w:w="0" w:type="dxa"/>
            <w:left w:w="108" w:type="dxa"/>
            <w:bottom w:w="0" w:type="dxa"/>
            <w:right w:w="108" w:type="dxa"/>
          </w:tblCellMar>
        </w:tblPrEx>
        <w:trPr>
          <w:trHeight w:val="665" w:hRule="atLeast"/>
          <w:jc w:val="center"/>
        </w:trPr>
        <w:tc>
          <w:tcPr>
            <w:tcW w:w="1571" w:type="dxa"/>
            <w:vMerge w:val="restart"/>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b/>
                <w:sz w:val="24"/>
              </w:rPr>
            </w:pPr>
            <w:r>
              <w:rPr>
                <w:rFonts w:eastAsia="仿宋_GB2312"/>
                <w:b/>
                <w:kern w:val="0"/>
                <w:sz w:val="24"/>
                <w:lang w:bidi="ar"/>
              </w:rPr>
              <w:t>保护日常监督情况</w:t>
            </w: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日常监督方式（如城市网格管理、城管执法等）</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rPr>
                <w:rFonts w:eastAsia="仿宋_GB2312"/>
                <w:sz w:val="24"/>
              </w:rPr>
            </w:pPr>
            <w:r>
              <w:rPr>
                <w:rFonts w:hint="eastAsia" w:eastAsia="仿宋_GB2312"/>
                <w:sz w:val="24"/>
              </w:rPr>
              <w:t>依托福州市历史建筑保护管理系统开展巡查工作</w:t>
            </w:r>
          </w:p>
        </w:tc>
      </w:tr>
      <w:tr>
        <w:tblPrEx>
          <w:tblCellMar>
            <w:top w:w="0" w:type="dxa"/>
            <w:left w:w="108" w:type="dxa"/>
            <w:bottom w:w="0" w:type="dxa"/>
            <w:right w:w="108" w:type="dxa"/>
          </w:tblCellMar>
        </w:tblPrEx>
        <w:trPr>
          <w:trHeight w:val="665"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历次各级评估检查中发现问题整改情况</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rPr>
                <w:rFonts w:eastAsia="仿宋_GB2312"/>
                <w:sz w:val="24"/>
              </w:rPr>
            </w:pPr>
            <w:r>
              <w:rPr>
                <w:rFonts w:hint="eastAsia" w:eastAsia="仿宋_GB2312"/>
                <w:sz w:val="24"/>
              </w:rPr>
              <w:t>已整改</w:t>
            </w:r>
          </w:p>
        </w:tc>
      </w:tr>
      <w:tr>
        <w:tblPrEx>
          <w:tblCellMar>
            <w:top w:w="0" w:type="dxa"/>
            <w:left w:w="108" w:type="dxa"/>
            <w:bottom w:w="0" w:type="dxa"/>
            <w:right w:w="108" w:type="dxa"/>
          </w:tblCellMar>
        </w:tblPrEx>
        <w:trPr>
          <w:trHeight w:val="350"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保护长效机制建立情况</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rPr>
                <w:rFonts w:eastAsia="仿宋_GB2312"/>
                <w:sz w:val="24"/>
              </w:rPr>
            </w:pPr>
            <w:r>
              <w:rPr>
                <w:rFonts w:hint="eastAsia" w:eastAsia="仿宋_GB2312"/>
                <w:sz w:val="24"/>
              </w:rPr>
              <w:t>已建立</w:t>
            </w:r>
          </w:p>
        </w:tc>
      </w:tr>
      <w:tr>
        <w:tblPrEx>
          <w:tblCellMar>
            <w:top w:w="0" w:type="dxa"/>
            <w:left w:w="108" w:type="dxa"/>
            <w:bottom w:w="0" w:type="dxa"/>
            <w:right w:w="108" w:type="dxa"/>
          </w:tblCellMar>
        </w:tblPrEx>
        <w:trPr>
          <w:trHeight w:val="948" w:hRule="atLeast"/>
          <w:jc w:val="center"/>
        </w:trPr>
        <w:tc>
          <w:tcPr>
            <w:tcW w:w="1571"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b/>
                <w:sz w:val="24"/>
              </w:rPr>
            </w:pPr>
            <w:r>
              <w:rPr>
                <w:rFonts w:eastAsia="仿宋_GB2312"/>
                <w:b/>
                <w:kern w:val="0"/>
                <w:sz w:val="24"/>
                <w:lang w:bidi="ar"/>
              </w:rPr>
              <w:t>保护责任划分情况</w:t>
            </w: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建筑风貌主管部门保护责任划分情况（组织协调机构设立情况、管理机构责任划分情况）</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eastAsia="仿宋_GB2312"/>
                <w:sz w:val="24"/>
                <w:lang w:eastAsia="zh-CN"/>
              </w:rPr>
            </w:pPr>
            <w:r>
              <w:rPr>
                <w:rFonts w:hint="eastAsia" w:eastAsia="仿宋_GB2312"/>
                <w:sz w:val="24"/>
              </w:rPr>
              <w:t>成立特色历史建筑保护中心统筹协调辖区内传统村落、历史建筑</w:t>
            </w:r>
            <w:r>
              <w:rPr>
                <w:rFonts w:eastAsia="仿宋_GB2312"/>
                <w:sz w:val="24"/>
              </w:rPr>
              <w:t>和传统风貌建筑</w:t>
            </w:r>
            <w:r>
              <w:rPr>
                <w:rFonts w:hint="eastAsia" w:eastAsia="仿宋_GB2312"/>
                <w:sz w:val="24"/>
              </w:rPr>
              <w:t>资源保护、管理及利用工作</w:t>
            </w:r>
            <w:r>
              <w:rPr>
                <w:rFonts w:hint="eastAsia" w:eastAsia="仿宋_GB2312"/>
                <w:sz w:val="24"/>
                <w:lang w:eastAsia="zh-CN"/>
              </w:rPr>
              <w:t>。</w:t>
            </w:r>
          </w:p>
        </w:tc>
      </w:tr>
      <w:tr>
        <w:tblPrEx>
          <w:tblCellMar>
            <w:top w:w="0" w:type="dxa"/>
            <w:left w:w="108" w:type="dxa"/>
            <w:bottom w:w="0" w:type="dxa"/>
            <w:right w:w="108" w:type="dxa"/>
          </w:tblCellMar>
        </w:tblPrEx>
        <w:trPr>
          <w:trHeight w:val="948" w:hRule="atLeast"/>
          <w:jc w:val="center"/>
        </w:trPr>
        <w:tc>
          <w:tcPr>
            <w:tcW w:w="1571"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b/>
                <w:kern w:val="0"/>
                <w:sz w:val="24"/>
                <w:lang w:bidi="ar"/>
              </w:rPr>
            </w:pPr>
            <w:r>
              <w:rPr>
                <w:rFonts w:eastAsia="仿宋_GB2312"/>
                <w:b/>
                <w:kern w:val="0"/>
                <w:sz w:val="24"/>
                <w:lang w:bidi="ar"/>
              </w:rPr>
              <w:t>城市更新过程中保护责任落实情况</w:t>
            </w: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kern w:val="0"/>
                <w:sz w:val="24"/>
                <w:lang w:bidi="ar"/>
              </w:rPr>
            </w:pPr>
            <w:r>
              <w:rPr>
                <w:rFonts w:eastAsia="仿宋_GB2312"/>
                <w:kern w:val="0"/>
                <w:sz w:val="24"/>
                <w:lang w:bidi="ar"/>
              </w:rPr>
              <w:t>涉及到历史文化遗产普查认定的近期拟列入及2018年以来已列入征迁项目（成片开发）的数量及简要情况等</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sz w:val="24"/>
              </w:rPr>
            </w:pPr>
            <w:r>
              <w:rPr>
                <w:rFonts w:hint="eastAsia" w:eastAsia="仿宋_GB2312"/>
                <w:sz w:val="24"/>
              </w:rPr>
              <w:t>对纳入旧改的地块在征迁实施前，要对地块内历史建筑编制保护方案，并对50年以上建筑进行普查甄别，开展文化资源评估论证，提出文化遗产和风貌保护措施，否则不得做出房屋征收决定。2</w:t>
            </w:r>
            <w:r>
              <w:rPr>
                <w:rFonts w:eastAsia="仿宋_GB2312"/>
                <w:sz w:val="24"/>
              </w:rPr>
              <w:t>02</w:t>
            </w:r>
            <w:r>
              <w:rPr>
                <w:rFonts w:hint="eastAsia" w:eastAsia="仿宋_GB2312"/>
                <w:sz w:val="24"/>
                <w:lang w:val="en-US" w:eastAsia="zh-CN"/>
              </w:rPr>
              <w:t>3</w:t>
            </w:r>
            <w:r>
              <w:rPr>
                <w:rFonts w:hint="eastAsia" w:eastAsia="仿宋_GB2312"/>
                <w:sz w:val="24"/>
              </w:rPr>
              <w:t>年，我区后屿片区旧改地块、新店片区3（后山村、桂山村等）</w:t>
            </w:r>
            <w:r>
              <w:rPr>
                <w:rFonts w:hint="eastAsia" w:eastAsia="仿宋_GB2312"/>
                <w:sz w:val="24"/>
                <w:lang w:eastAsia="zh-CN"/>
              </w:rPr>
              <w:t>、</w:t>
            </w:r>
            <w:r>
              <w:rPr>
                <w:rFonts w:hint="eastAsia" w:eastAsia="仿宋_GB2312"/>
                <w:sz w:val="24"/>
                <w:lang w:val="en-US" w:eastAsia="zh-CN"/>
              </w:rPr>
              <w:t>埠兴片三环新苑四期地块等</w:t>
            </w:r>
            <w:r>
              <w:rPr>
                <w:rFonts w:hint="eastAsia" w:eastAsia="仿宋_GB2312"/>
                <w:sz w:val="24"/>
              </w:rPr>
              <w:t>由业主单位委托市规划、市城乡院等单位编制《评估报告》。</w:t>
            </w:r>
          </w:p>
        </w:tc>
      </w:tr>
      <w:tr>
        <w:tblPrEx>
          <w:tblCellMar>
            <w:top w:w="0" w:type="dxa"/>
            <w:left w:w="108" w:type="dxa"/>
            <w:bottom w:w="0" w:type="dxa"/>
            <w:right w:w="108" w:type="dxa"/>
          </w:tblCellMar>
        </w:tblPrEx>
        <w:trPr>
          <w:trHeight w:val="350" w:hRule="atLeast"/>
          <w:jc w:val="center"/>
        </w:trPr>
        <w:tc>
          <w:tcPr>
            <w:tcW w:w="1571" w:type="dxa"/>
            <w:vMerge w:val="restart"/>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center"/>
              <w:textAlignment w:val="center"/>
              <w:rPr>
                <w:rFonts w:eastAsia="仿宋_GB2312"/>
                <w:b/>
                <w:sz w:val="24"/>
              </w:rPr>
            </w:pPr>
            <w:r>
              <w:rPr>
                <w:rFonts w:eastAsia="仿宋_GB2312"/>
                <w:b/>
                <w:kern w:val="0"/>
                <w:sz w:val="24"/>
                <w:lang w:bidi="ar"/>
              </w:rPr>
              <w:t>文物保护单位</w:t>
            </w: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是否划定保护范围和建设控制地带</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eastAsia="仿宋_GB2312"/>
                <w:sz w:val="24"/>
                <w:lang w:eastAsia="zh-CN"/>
              </w:rPr>
            </w:pPr>
            <w:r>
              <w:rPr>
                <w:rFonts w:hint="eastAsia" w:eastAsia="仿宋_GB2312"/>
                <w:sz w:val="24"/>
                <w:lang w:eastAsia="zh-CN"/>
              </w:rPr>
              <w:t>已</w:t>
            </w:r>
            <w:r>
              <w:rPr>
                <w:rFonts w:eastAsia="仿宋_GB2312"/>
                <w:kern w:val="0"/>
                <w:sz w:val="24"/>
                <w:lang w:bidi="ar"/>
              </w:rPr>
              <w:t>划定保护范围和建设控制地带</w:t>
            </w:r>
          </w:p>
        </w:tc>
      </w:tr>
      <w:tr>
        <w:tblPrEx>
          <w:tblCellMar>
            <w:top w:w="0" w:type="dxa"/>
            <w:left w:w="108" w:type="dxa"/>
            <w:bottom w:w="0" w:type="dxa"/>
            <w:right w:w="108" w:type="dxa"/>
          </w:tblCellMar>
        </w:tblPrEx>
        <w:trPr>
          <w:trHeight w:val="350"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是否设立保护标志</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eastAsia="仿宋_GB2312"/>
                <w:sz w:val="24"/>
                <w:lang w:eastAsia="zh-CN"/>
              </w:rPr>
            </w:pPr>
            <w:r>
              <w:rPr>
                <w:rFonts w:hint="eastAsia" w:eastAsia="仿宋_GB2312"/>
                <w:sz w:val="24"/>
                <w:lang w:eastAsia="zh-CN"/>
              </w:rPr>
              <w:t>已</w:t>
            </w:r>
            <w:r>
              <w:rPr>
                <w:rFonts w:eastAsia="仿宋_GB2312"/>
                <w:kern w:val="0"/>
                <w:sz w:val="24"/>
                <w:lang w:bidi="ar"/>
              </w:rPr>
              <w:t>设立保护标志</w:t>
            </w:r>
          </w:p>
        </w:tc>
      </w:tr>
      <w:tr>
        <w:tblPrEx>
          <w:tblCellMar>
            <w:top w:w="0" w:type="dxa"/>
            <w:left w:w="108" w:type="dxa"/>
            <w:bottom w:w="0" w:type="dxa"/>
            <w:right w:w="108" w:type="dxa"/>
          </w:tblCellMar>
        </w:tblPrEx>
        <w:trPr>
          <w:trHeight w:val="350"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是否建立并动态更新记录档案</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eastAsia="仿宋_GB2312"/>
                <w:sz w:val="24"/>
                <w:lang w:eastAsia="zh-CN"/>
              </w:rPr>
            </w:pPr>
            <w:r>
              <w:rPr>
                <w:rFonts w:hint="eastAsia" w:eastAsia="仿宋_GB2312"/>
                <w:sz w:val="24"/>
                <w:lang w:eastAsia="zh-CN"/>
              </w:rPr>
              <w:t>已</w:t>
            </w:r>
            <w:r>
              <w:rPr>
                <w:rFonts w:eastAsia="仿宋_GB2312"/>
                <w:kern w:val="0"/>
                <w:sz w:val="24"/>
                <w:lang w:bidi="ar"/>
              </w:rPr>
              <w:t>建立并动态更新记录档案</w:t>
            </w:r>
          </w:p>
        </w:tc>
      </w:tr>
      <w:tr>
        <w:tblPrEx>
          <w:tblCellMar>
            <w:top w:w="0" w:type="dxa"/>
            <w:left w:w="108" w:type="dxa"/>
            <w:bottom w:w="0" w:type="dxa"/>
            <w:right w:w="108" w:type="dxa"/>
          </w:tblCellMar>
        </w:tblPrEx>
        <w:trPr>
          <w:trHeight w:val="665"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是否建立专门管理机构或安排专人管理</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eastAsia="仿宋_GB2312"/>
                <w:sz w:val="24"/>
                <w:lang w:eastAsia="zh-CN"/>
              </w:rPr>
            </w:pPr>
            <w:r>
              <w:rPr>
                <w:rFonts w:hint="eastAsia" w:eastAsia="仿宋_GB2312"/>
                <w:sz w:val="24"/>
                <w:lang w:eastAsia="zh-CN"/>
              </w:rPr>
              <w:t>已</w:t>
            </w:r>
            <w:r>
              <w:rPr>
                <w:rFonts w:eastAsia="仿宋_GB2312"/>
                <w:kern w:val="0"/>
                <w:sz w:val="24"/>
                <w:lang w:bidi="ar"/>
              </w:rPr>
              <w:t>建立专门管理机构或安排专人管理</w:t>
            </w:r>
          </w:p>
        </w:tc>
      </w:tr>
      <w:tr>
        <w:tblPrEx>
          <w:tblCellMar>
            <w:top w:w="0" w:type="dxa"/>
            <w:left w:w="108" w:type="dxa"/>
            <w:bottom w:w="0" w:type="dxa"/>
            <w:right w:w="108" w:type="dxa"/>
          </w:tblCellMar>
        </w:tblPrEx>
        <w:trPr>
          <w:trHeight w:val="350"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是否制定具体保护措施并公告施行</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jc w:val="both"/>
              <w:rPr>
                <w:rFonts w:hint="eastAsia" w:eastAsia="仿宋_GB2312"/>
                <w:sz w:val="24"/>
                <w:lang w:eastAsia="zh-CN"/>
              </w:rPr>
            </w:pPr>
            <w:r>
              <w:rPr>
                <w:rFonts w:hint="eastAsia" w:eastAsia="仿宋_GB2312"/>
                <w:sz w:val="24"/>
                <w:lang w:eastAsia="zh-CN"/>
              </w:rPr>
              <w:t>已</w:t>
            </w:r>
            <w:r>
              <w:rPr>
                <w:rFonts w:eastAsia="仿宋_GB2312"/>
                <w:kern w:val="0"/>
                <w:sz w:val="24"/>
                <w:lang w:bidi="ar"/>
              </w:rPr>
              <w:t>制定具体保护措施并公告施行</w:t>
            </w:r>
          </w:p>
        </w:tc>
      </w:tr>
      <w:tr>
        <w:tblPrEx>
          <w:tblCellMar>
            <w:top w:w="0" w:type="dxa"/>
            <w:left w:w="108" w:type="dxa"/>
            <w:bottom w:w="0" w:type="dxa"/>
            <w:right w:w="108" w:type="dxa"/>
          </w:tblCellMar>
        </w:tblPrEx>
        <w:trPr>
          <w:trHeight w:val="695" w:hRule="atLeast"/>
          <w:jc w:val="center"/>
        </w:trPr>
        <w:tc>
          <w:tcPr>
            <w:tcW w:w="1571" w:type="dxa"/>
            <w:vMerge w:val="continue"/>
            <w:tcBorders>
              <w:top w:val="single" w:color="000000" w:sz="0" w:space="0"/>
              <w:left w:val="single" w:color="000000" w:sz="0" w:space="0"/>
              <w:bottom w:val="single" w:color="000000" w:sz="0" w:space="0"/>
              <w:right w:val="single" w:color="000000" w:sz="0" w:space="0"/>
            </w:tcBorders>
            <w:shd w:val="clear" w:color="auto" w:fill="auto"/>
            <w:vAlign w:val="center"/>
          </w:tcPr>
          <w:p>
            <w:pPr>
              <w:jc w:val="center"/>
              <w:rPr>
                <w:rFonts w:eastAsia="仿宋_GB2312"/>
                <w:b/>
                <w:sz w:val="24"/>
              </w:rPr>
            </w:pPr>
          </w:p>
        </w:tc>
        <w:tc>
          <w:tcPr>
            <w:tcW w:w="3198" w:type="dxa"/>
            <w:tcBorders>
              <w:top w:val="single" w:color="000000" w:sz="0" w:space="0"/>
              <w:left w:val="single" w:color="000000" w:sz="0" w:space="0"/>
              <w:bottom w:val="single" w:color="000000" w:sz="0" w:space="0"/>
              <w:right w:val="single" w:color="000000" w:sz="0" w:space="0"/>
            </w:tcBorders>
            <w:shd w:val="clear" w:color="auto" w:fill="auto"/>
            <w:vAlign w:val="center"/>
          </w:tcPr>
          <w:p>
            <w:pPr>
              <w:widowControl/>
              <w:jc w:val="left"/>
              <w:textAlignment w:val="center"/>
              <w:rPr>
                <w:rFonts w:eastAsia="仿宋_GB2312"/>
                <w:sz w:val="24"/>
              </w:rPr>
            </w:pPr>
            <w:r>
              <w:rPr>
                <w:rFonts w:eastAsia="仿宋_GB2312"/>
                <w:kern w:val="0"/>
                <w:sz w:val="24"/>
                <w:lang w:bidi="ar"/>
              </w:rPr>
              <w:t>是否将保护措施纳入相关规划（含是否编制文物保护单位保护规划）</w:t>
            </w:r>
          </w:p>
        </w:tc>
        <w:tc>
          <w:tcPr>
            <w:tcW w:w="4900" w:type="dxa"/>
            <w:gridSpan w:val="3"/>
            <w:tcBorders>
              <w:top w:val="single" w:color="000000" w:sz="0" w:space="0"/>
              <w:left w:val="single" w:color="000000" w:sz="0" w:space="0"/>
              <w:bottom w:val="single" w:color="000000" w:sz="0" w:space="0"/>
              <w:right w:val="single" w:color="000000" w:sz="0" w:space="0"/>
            </w:tcBorders>
            <w:shd w:val="clear" w:color="auto" w:fill="auto"/>
            <w:vAlign w:val="center"/>
          </w:tcPr>
          <w:p>
            <w:pPr>
              <w:rPr>
                <w:rFonts w:hint="eastAsia" w:eastAsia="宋体"/>
                <w:sz w:val="24"/>
                <w:lang w:eastAsia="zh-CN"/>
              </w:rPr>
            </w:pPr>
            <w:r>
              <w:rPr>
                <w:rFonts w:hint="eastAsia" w:ascii="Times New Roman" w:hAnsi="Times New Roman" w:eastAsia="仿宋_GB2312" w:cs="Times New Roman"/>
                <w:kern w:val="0"/>
                <w:sz w:val="24"/>
                <w:lang w:eastAsia="zh-CN" w:bidi="ar"/>
              </w:rPr>
              <w:t>已</w:t>
            </w:r>
            <w:r>
              <w:rPr>
                <w:rFonts w:ascii="Times New Roman" w:hAnsi="Times New Roman" w:eastAsia="仿宋_GB2312" w:cs="Times New Roman"/>
                <w:kern w:val="0"/>
                <w:sz w:val="24"/>
                <w:lang w:bidi="ar"/>
              </w:rPr>
              <w:t>将保护措施纳入相关规划（含编制文物保护单位保护规划）</w:t>
            </w:r>
          </w:p>
        </w:tc>
      </w:tr>
    </w:tbl>
    <w:p>
      <w:pPr>
        <w:rPr>
          <w:rFonts w:hint="eastAsia"/>
        </w:rPr>
      </w:pP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418" w:left="1417" w:header="851" w:footer="85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left" w:pos="720"/>
                            </w:tabs>
                            <w:ind w:right="210"/>
                            <w:rPr>
                              <w:rStyle w:val="11"/>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PAGE  </w:instrText>
                          </w:r>
                          <w:r>
                            <w:rPr>
                              <w:rFonts w:hint="default" w:ascii="Times New Roman" w:hAnsi="Times New Roman" w:cs="Times New Roman"/>
                              <w:sz w:val="30"/>
                              <w:szCs w:val="30"/>
                            </w:rPr>
                            <w:fldChar w:fldCharType="separate"/>
                          </w:r>
                          <w:r>
                            <w:rPr>
                              <w:rStyle w:val="11"/>
                              <w:rFonts w:hint="default" w:ascii="Times New Roman" w:hAnsi="Times New Roman" w:cs="Times New Roman"/>
                              <w:sz w:val="30"/>
                              <w:szCs w:val="30"/>
                            </w:rPr>
                            <w:t>- 1 -</w:t>
                          </w:r>
                          <w:r>
                            <w:rPr>
                              <w:rFonts w:hint="default"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tabs>
                        <w:tab w:val="left" w:pos="720"/>
                      </w:tabs>
                      <w:ind w:right="210"/>
                      <w:rPr>
                        <w:rStyle w:val="11"/>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PAGE  </w:instrText>
                    </w:r>
                    <w:r>
                      <w:rPr>
                        <w:rFonts w:hint="default" w:ascii="Times New Roman" w:hAnsi="Times New Roman" w:cs="Times New Roman"/>
                        <w:sz w:val="30"/>
                        <w:szCs w:val="30"/>
                      </w:rPr>
                      <w:fldChar w:fldCharType="separate"/>
                    </w:r>
                    <w:r>
                      <w:rPr>
                        <w:rStyle w:val="11"/>
                        <w:rFonts w:hint="default" w:ascii="Times New Roman" w:hAnsi="Times New Roman" w:cs="Times New Roman"/>
                        <w:sz w:val="30"/>
                        <w:szCs w:val="30"/>
                      </w:rPr>
                      <w:t>- 1 -</w:t>
                    </w:r>
                    <w:r>
                      <w:rPr>
                        <w:rFonts w:hint="default" w:ascii="Times New Roman" w:hAnsi="Times New Roman" w:cs="Times New Roman"/>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rPr>
        <w:rStyle w:val="11"/>
        <w:rFonts w:ascii="宋体"/>
        <w:sz w:val="28"/>
        <w:szCs w:val="28"/>
      </w:rPr>
    </w:pPr>
    <w:r>
      <w:rPr>
        <w:rFonts w:hint="eastAsia" w:ascii="宋体"/>
        <w:sz w:val="28"/>
        <w:szCs w:val="28"/>
      </w:rPr>
      <w:fldChar w:fldCharType="begin"/>
    </w:r>
    <w:r>
      <w:rPr>
        <w:rFonts w:hint="eastAsia" w:ascii="宋体"/>
        <w:sz w:val="28"/>
        <w:szCs w:val="28"/>
      </w:rPr>
      <w:instrText xml:space="preserve">PAGE  </w:instrText>
    </w:r>
    <w:r>
      <w:rPr>
        <w:rFonts w:hint="eastAsia" w:ascii="宋体"/>
        <w:sz w:val="28"/>
        <w:szCs w:val="28"/>
      </w:rPr>
      <w:fldChar w:fldCharType="separate"/>
    </w:r>
    <w:r>
      <w:rPr>
        <w:rStyle w:val="11"/>
        <w:rFonts w:ascii="宋体"/>
        <w:sz w:val="28"/>
        <w:szCs w:val="28"/>
      </w:rPr>
      <w:t>- 2 -</w:t>
    </w:r>
    <w:r>
      <w:rPr>
        <w:rFonts w:hint="eastAsia" w:ascii="宋体"/>
        <w:sz w:val="28"/>
        <w:szCs w:val="28"/>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2623BF6B"/>
    <w:multiLevelType w:val="singleLevel"/>
    <w:tmpl w:val="2623BF6B"/>
    <w:lvl w:ilvl="0" w:tentative="0">
      <w:start w:val="1"/>
      <w:numFmt w:val="decimal"/>
      <w:lvlText w:val="%1."/>
      <w:lvlJc w:val="left"/>
      <w:pPr>
        <w:tabs>
          <w:tab w:val="left" w:pos="312"/>
        </w:tabs>
      </w:pPr>
    </w:lvl>
  </w:abstractNum>
  <w:abstractNum w:abstractNumId="2">
    <w:nsid w:val="56D03DD6"/>
    <w:multiLevelType w:val="singleLevel"/>
    <w:tmpl w:val="56D03DD6"/>
    <w:lvl w:ilvl="0" w:tentative="0">
      <w:start w:val="1"/>
      <w:numFmt w:val="decimal"/>
      <w:lvlText w:val="%1."/>
      <w:lvlJc w:val="left"/>
      <w:pPr>
        <w:tabs>
          <w:tab w:val="left" w:pos="312"/>
        </w:tabs>
      </w:pPr>
    </w:lvl>
  </w:abstractNum>
  <w:abstractNum w:abstractNumId="3">
    <w:nsid w:val="7F33DA4A"/>
    <w:multiLevelType w:val="singleLevel"/>
    <w:tmpl w:val="7F33DA4A"/>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Y2U4Y2Y1NTJkNmYwNzRmNjA1Mzk3N2IxODQwYWYifQ=="/>
    <w:docVar w:name="KSO_WPS_MARK_KEY" w:val="86b92c3c-b770-4c50-b190-41330f022169"/>
  </w:docVars>
  <w:rsids>
    <w:rsidRoot w:val="79B12482"/>
    <w:rsid w:val="00147607"/>
    <w:rsid w:val="0018532D"/>
    <w:rsid w:val="002B0E6B"/>
    <w:rsid w:val="00363751"/>
    <w:rsid w:val="006305E6"/>
    <w:rsid w:val="007D6D59"/>
    <w:rsid w:val="0081565D"/>
    <w:rsid w:val="009D76A1"/>
    <w:rsid w:val="00BF709C"/>
    <w:rsid w:val="00EE5492"/>
    <w:rsid w:val="0164412E"/>
    <w:rsid w:val="03E2554B"/>
    <w:rsid w:val="06E278BC"/>
    <w:rsid w:val="0A537714"/>
    <w:rsid w:val="0F205179"/>
    <w:rsid w:val="0F6239E3"/>
    <w:rsid w:val="105552F6"/>
    <w:rsid w:val="146D70B2"/>
    <w:rsid w:val="15205ED3"/>
    <w:rsid w:val="163B3E4B"/>
    <w:rsid w:val="17DD62FD"/>
    <w:rsid w:val="17F65611"/>
    <w:rsid w:val="1A236969"/>
    <w:rsid w:val="1A2A3350"/>
    <w:rsid w:val="1B574618"/>
    <w:rsid w:val="1D210A3A"/>
    <w:rsid w:val="21F4671D"/>
    <w:rsid w:val="27277595"/>
    <w:rsid w:val="27EC140B"/>
    <w:rsid w:val="29D37560"/>
    <w:rsid w:val="2AB078A1"/>
    <w:rsid w:val="2EBA6F40"/>
    <w:rsid w:val="312A63FD"/>
    <w:rsid w:val="3251196A"/>
    <w:rsid w:val="32674CE9"/>
    <w:rsid w:val="32A221C5"/>
    <w:rsid w:val="34222896"/>
    <w:rsid w:val="36533F02"/>
    <w:rsid w:val="36DC04D6"/>
    <w:rsid w:val="378532D4"/>
    <w:rsid w:val="383B2EA0"/>
    <w:rsid w:val="391060DB"/>
    <w:rsid w:val="3B2A71FC"/>
    <w:rsid w:val="3B360C55"/>
    <w:rsid w:val="3C4C0DCB"/>
    <w:rsid w:val="3D65497F"/>
    <w:rsid w:val="40492188"/>
    <w:rsid w:val="429F5DD9"/>
    <w:rsid w:val="442C66FD"/>
    <w:rsid w:val="45CE61EA"/>
    <w:rsid w:val="48FF3A76"/>
    <w:rsid w:val="4C436E4E"/>
    <w:rsid w:val="4FF9121F"/>
    <w:rsid w:val="513E74BA"/>
    <w:rsid w:val="53BB2850"/>
    <w:rsid w:val="5640122A"/>
    <w:rsid w:val="568A7075"/>
    <w:rsid w:val="57D2661D"/>
    <w:rsid w:val="58030761"/>
    <w:rsid w:val="596C2A61"/>
    <w:rsid w:val="5D1C654D"/>
    <w:rsid w:val="5EA031AD"/>
    <w:rsid w:val="64EA6F30"/>
    <w:rsid w:val="68327EAA"/>
    <w:rsid w:val="70FA499F"/>
    <w:rsid w:val="748F53FE"/>
    <w:rsid w:val="75263B4E"/>
    <w:rsid w:val="79B12482"/>
    <w:rsid w:val="7CA57EB5"/>
    <w:rsid w:val="7E19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5"/>
    <w:qFormat/>
    <w:uiPriority w:val="99"/>
    <w:rPr>
      <w:sz w:val="18"/>
      <w:szCs w:val="18"/>
    </w:rPr>
  </w:style>
  <w:style w:type="paragraph" w:styleId="3">
    <w:name w:val="HTML Preformatted"/>
    <w:basedOn w:val="1"/>
    <w:unhideWhenUsed/>
    <w:qFormat/>
    <w:uiPriority w:val="99"/>
    <w:rPr>
      <w:rFonts w:ascii="Courier New" w:hAnsi="Courier New" w:cs="Courier New"/>
      <w:sz w:val="20"/>
    </w:rPr>
  </w:style>
  <w:style w:type="paragraph" w:styleId="4">
    <w:name w:val="Normal Indent"/>
    <w:basedOn w:val="1"/>
    <w:next w:val="1"/>
    <w:unhideWhenUsed/>
    <w:qFormat/>
    <w:uiPriority w:val="99"/>
    <w:pPr>
      <w:ind w:firstLine="420"/>
    </w:pPr>
    <w:rPr>
      <w:rFonts w:eastAsia="仿宋_GB2312"/>
      <w:sz w:val="32"/>
      <w:szCs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5"/>
    <w:qFormat/>
    <w:uiPriority w:val="0"/>
    <w:pPr>
      <w:ind w:firstLine="420" w:firstLineChars="200"/>
    </w:pPr>
  </w:style>
  <w:style w:type="character" w:styleId="11">
    <w:name w:val="page number"/>
    <w:basedOn w:val="10"/>
    <w:qFormat/>
    <w:uiPriority w:val="0"/>
  </w:style>
  <w:style w:type="paragraph" w:customStyle="1" w:styleId="12">
    <w:name w:val="列出段落1"/>
    <w:basedOn w:val="1"/>
    <w:qFormat/>
    <w:uiPriority w:val="0"/>
    <w:pPr>
      <w:ind w:firstLine="420"/>
    </w:pPr>
    <w:rPr>
      <w:rFonts w:ascii="Calibri" w:hAnsi="Calibri"/>
    </w:rPr>
  </w:style>
  <w:style w:type="paragraph" w:styleId="13">
    <w:name w:val="No Spacing"/>
    <w:qFormat/>
    <w:uiPriority w:val="1"/>
    <w:pPr>
      <w:widowControl w:val="0"/>
    </w:pPr>
    <w:rPr>
      <w:rFonts w:ascii="宋体" w:hAnsi="宋体" w:eastAsia="仿宋" w:cs="宋体"/>
      <w:kern w:val="2"/>
      <w:sz w:val="21"/>
      <w:szCs w:val="21"/>
      <w:lang w:val="en-US" w:eastAsia="zh-CN" w:bidi="ar-SA"/>
    </w:rPr>
  </w:style>
  <w:style w:type="character" w:customStyle="1" w:styleId="14">
    <w:name w:val="font01"/>
    <w:basedOn w:val="10"/>
    <w:qFormat/>
    <w:uiPriority w:val="0"/>
    <w:rPr>
      <w:rFonts w:hint="eastAsia" w:ascii="仿宋_GB2312" w:eastAsia="仿宋_GB2312" w:cs="仿宋_GB2312"/>
      <w:color w:val="000000"/>
      <w:sz w:val="24"/>
      <w:szCs w:val="24"/>
      <w:u w:val="none"/>
    </w:rPr>
  </w:style>
  <w:style w:type="character" w:customStyle="1" w:styleId="15">
    <w:name w:val="批注框文本 字符"/>
    <w:basedOn w:val="10"/>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7097</Words>
  <Characters>7373</Characters>
  <Lines>41</Lines>
  <Paragraphs>11</Paragraphs>
  <TotalTime>34</TotalTime>
  <ScaleCrop>false</ScaleCrop>
  <LinksUpToDate>false</LinksUpToDate>
  <CharactersWithSpaces>7376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2022-11-30T07:24:00Z</dcterms:created>
  <dc:creator>王汉亮</dc:creator>
  <cp:lastModifiedBy>Administrator</cp:lastModifiedBy>
  <cp:lastPrinted>2023-09-13T07:44:00Z</cp:lastPrinted>
  <dcterms:modified xsi:type="dcterms:W3CDTF">2023-09-19T09:32:37Z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C1F2C265E71A4B50BA39709AE8361D85_13</vt:lpwstr>
  </property>
</Properties>
</file>